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5E73B" w14:textId="77777777" w:rsidR="00530F8A" w:rsidRDefault="00530F8A" w:rsidP="006F7C19">
      <w:pPr>
        <w:spacing w:after="0" w:line="480" w:lineRule="auto"/>
        <w:contextualSpacing/>
        <w:rPr>
          <w:rFonts w:cstheme="minorHAnsi"/>
          <w:b/>
          <w:bCs/>
          <w:color w:val="000000"/>
          <w:shd w:val="clear" w:color="auto" w:fill="FFFFFF"/>
        </w:rPr>
      </w:pPr>
      <w:r>
        <w:rPr>
          <w:rFonts w:cstheme="minorHAnsi"/>
          <w:b/>
          <w:bCs/>
          <w:color w:val="000000"/>
          <w:shd w:val="clear" w:color="auto" w:fill="FFFFFF"/>
        </w:rPr>
        <w:t>Supplemental material</w:t>
      </w:r>
    </w:p>
    <w:p w14:paraId="28712216" w14:textId="0AA0E6E0" w:rsidR="006F7C19" w:rsidRPr="006F7C19" w:rsidRDefault="006F7C19" w:rsidP="006F7C19">
      <w:pPr>
        <w:spacing w:after="0" w:line="480" w:lineRule="auto"/>
        <w:contextualSpacing/>
        <w:rPr>
          <w:rFonts w:cstheme="minorHAnsi"/>
          <w:b/>
          <w:bCs/>
          <w:color w:val="000000"/>
          <w:shd w:val="clear" w:color="auto" w:fill="FFFFFF"/>
        </w:rPr>
      </w:pPr>
      <w:r w:rsidRPr="006F7C19">
        <w:rPr>
          <w:rFonts w:cstheme="minorHAnsi"/>
          <w:b/>
          <w:bCs/>
          <w:color w:val="000000"/>
          <w:shd w:val="clear" w:color="auto" w:fill="FFFFFF"/>
        </w:rPr>
        <w:t xml:space="preserve">Supplement 1: Wolffia globosa </w:t>
      </w:r>
      <w:r w:rsidR="000712F8">
        <w:rPr>
          <w:rFonts w:cstheme="minorHAnsi"/>
          <w:b/>
          <w:bCs/>
          <w:color w:val="000000"/>
          <w:shd w:val="clear" w:color="auto" w:fill="FFFFFF"/>
        </w:rPr>
        <w:t>– nutritional values and current evidence</w:t>
      </w:r>
    </w:p>
    <w:p w14:paraId="1735750C" w14:textId="67598056" w:rsidR="006F7C19" w:rsidRPr="006F7C19" w:rsidRDefault="006F7C19" w:rsidP="006F7C19">
      <w:pPr>
        <w:spacing w:after="0" w:line="480" w:lineRule="auto"/>
        <w:rPr>
          <w:rFonts w:cstheme="minorHAnsi"/>
        </w:rPr>
      </w:pPr>
      <w:r w:rsidRPr="006F7C19">
        <w:rPr>
          <w:rFonts w:cstheme="minorHAnsi"/>
          <w:i/>
          <w:iCs/>
          <w:color w:val="000000"/>
          <w:shd w:val="clear" w:color="auto" w:fill="FFFFFF"/>
        </w:rPr>
        <w:t xml:space="preserve">Wolffia globosa </w:t>
      </w:r>
      <w:r w:rsidRPr="006F7C19">
        <w:rPr>
          <w:rFonts w:cstheme="minorHAnsi"/>
          <w:color w:val="000000"/>
          <w:shd w:val="clear" w:color="auto" w:fill="FFFFFF"/>
        </w:rPr>
        <w:t xml:space="preserve">(Mankai) is an aquatic plant from the duckweed family that </w:t>
      </w:r>
      <w:r w:rsidRPr="006F7C19">
        <w:rPr>
          <w:rFonts w:cstheme="minorHAnsi"/>
        </w:rPr>
        <w:t>is rich in protein content (more than 45% of the dry matter), contains 9 essential and 6 conditional amino acids, and presents a high protein digestibility</w:t>
      </w:r>
      <w:r w:rsidRPr="006F7C19">
        <w:rPr>
          <w:rFonts w:cstheme="minorHAnsi"/>
          <w:i/>
          <w:iCs/>
        </w:rPr>
        <w:t xml:space="preserve"> </w:t>
      </w:r>
      <w:r w:rsidRPr="006F7C19">
        <w:rPr>
          <w:rFonts w:cstheme="minorHAnsi"/>
        </w:rPr>
        <w:t xml:space="preserve">corrected amino acid score (PDCAAS) of 89%. </w:t>
      </w:r>
      <w:r w:rsidRPr="006F7C19">
        <w:rPr>
          <w:rFonts w:cstheme="minorHAnsi"/>
          <w:i/>
          <w:iCs/>
          <w:color w:val="000000"/>
          <w:shd w:val="clear" w:color="auto" w:fill="FFFFFF"/>
        </w:rPr>
        <w:t xml:space="preserve">Wolffia globosa </w:t>
      </w:r>
      <w:r w:rsidRPr="006F7C19">
        <w:rPr>
          <w:rFonts w:cstheme="minorHAnsi"/>
          <w:color w:val="000000"/>
          <w:shd w:val="clear" w:color="auto" w:fill="FFFFFF"/>
        </w:rPr>
        <w:t xml:space="preserve">Mankai strain was shown to supply highly available protein in  humans </w:t>
      </w:r>
      <w:r w:rsidRPr="006F7C19">
        <w:rPr>
          <w:rFonts w:cstheme="minorHAnsi"/>
          <w:color w:val="000000"/>
          <w:shd w:val="clear" w:color="auto" w:fill="FFFFFF"/>
        </w:rPr>
        <w:fldChar w:fldCharType="begin" w:fldLock="1"/>
      </w:r>
      <w:r w:rsidR="00CC14F6">
        <w:rPr>
          <w:rFonts w:cstheme="minorHAnsi"/>
          <w:color w:val="000000"/>
          <w:shd w:val="clear" w:color="auto" w:fill="FFFFFF"/>
        </w:rPr>
        <w:instrText>ADDIN CSL_CITATION {"citationItems":[{"id":"ITEM-1","itemData":{"DOI":"10.1016/j.clnu.2018.12.009","ISSN":"15321983","author":[{"dropping-particle":"","family":"Kaplan","given":"Alon","non-dropping-particle":"","parse-names":false,"suffix":""},{"dropping-particle":"","family":"Zelicha","given":"Hila","non-dropping-particle":"","parse-names":false,"suffix":""},{"dropping-particle":"","family":"Tsaban","given":"Gal","non-dropping-particle":"","parse-names":false,"suffix":""},{"dropping-particle":"","family":"Yaskolka Meir","given":"Anat","non-dropping-particle":"","parse-names":false,"suffix":""},{"dropping-particle":"","family":"Rinott","given":"Ehud","non-dropping-particle":"","parse-names":false,"suffix":""},{"dropping-particle":"","family":"Kovsan","given":"Julia","non-dropping-particle":"","parse-names":false,"suffix":""},{"dropping-particle":"","family":"Novack","given":"Lena","non-dropping-particle":"","parse-names":false,"suffix":""},{"dropping-particle":"","family":"Thiery","given":"Joachim","non-dropping-particle":"","parse-names":false,"suffix":""},{"dropping-particle":"","family":"Ceglarek","given":"Uta","non-dropping-particle":"","parse-names":false,"suffix":""},{"dropping-particle":"","family":"Burkhardt","given":"Ralph","non-dropping-particle":"","parse-names":false,"suffix":""},{"dropping-particle":"","family":"Willenberg","given":"Anja","non-dropping-particle":"","parse-names":false,"suffix":""},{"dropping-particle":"","family":"Tirosh","given":"Amir","non-dropping-particle":"","parse-names":false,"suffix":""},{"dropping-particle":"","family":"Cabantchik","given":"Ioav","non-dropping-particle":"","parse-names":false,"suffix":""},{"dropping-particle":"","family":"Stampfer","given":"M.J. Meir J.","non-dropping-particle":"","parse-names":false,"suffix":""},{"dropping-particle":"","family":"Shai","given":"Iris","non-dropping-particle":"","parse-names":false,"suffix":""}],"container-title":"Clinical Nutrition","id":"ITEM-1","issue":"6","issued":{"date-parts":[["2019","12","1"]]},"page":"2576-2582","publisher":"Churchill Livingstone","title":"Protein bioavailability of Wolffia globosa duckweed, a novel aquatic plant – A randomized controlled trial","type":"article-journal","volume":"38"},"uris":["http://www.mendeley.com/documents/?uuid=4d53e12c-831b-4f9a-bd09-2d8105d39486"]}],"mendeley":{"formattedCitation":"(1)","plainTextFormattedCitation":"(1)","previouslyFormattedCitation":"(1)"},"properties":{"noteIndex":0},"schema":"https://github.com/citation-style-language/schema/raw/master/csl-citation.json"}</w:instrText>
      </w:r>
      <w:r w:rsidRPr="006F7C19">
        <w:rPr>
          <w:rFonts w:cstheme="minorHAnsi"/>
          <w:color w:val="000000"/>
          <w:shd w:val="clear" w:color="auto" w:fill="FFFFFF"/>
        </w:rPr>
        <w:fldChar w:fldCharType="separate"/>
      </w:r>
      <w:r w:rsidR="00CC14F6" w:rsidRPr="00CC14F6">
        <w:rPr>
          <w:rFonts w:cstheme="minorHAnsi"/>
          <w:noProof/>
          <w:color w:val="000000"/>
          <w:shd w:val="clear" w:color="auto" w:fill="FFFFFF"/>
        </w:rPr>
        <w:t>(1)</w:t>
      </w:r>
      <w:r w:rsidRPr="006F7C19">
        <w:rPr>
          <w:rFonts w:cstheme="minorHAnsi"/>
          <w:color w:val="000000"/>
          <w:shd w:val="clear" w:color="auto" w:fill="FFFFFF"/>
        </w:rPr>
        <w:fldChar w:fldCharType="end"/>
      </w:r>
      <w:r w:rsidRPr="006F7C19">
        <w:rPr>
          <w:rFonts w:cstheme="minorHAnsi"/>
          <w:color w:val="000000"/>
          <w:shd w:val="clear" w:color="auto" w:fill="FFFFFF"/>
        </w:rPr>
        <w:t>.</w:t>
      </w:r>
      <w:r w:rsidR="00CC14F6">
        <w:rPr>
          <w:rFonts w:cstheme="minorHAnsi"/>
          <w:color w:val="000000"/>
          <w:shd w:val="clear" w:color="auto" w:fill="FFFFFF"/>
        </w:rPr>
        <w:t xml:space="preserve"> As well, this plant has exampled high iron bioavailability among rats and preservation of </w:t>
      </w:r>
      <w:proofErr w:type="spellStart"/>
      <w:r w:rsidR="00CC14F6">
        <w:rPr>
          <w:rFonts w:cstheme="minorHAnsi"/>
          <w:color w:val="000000"/>
          <w:shd w:val="clear" w:color="auto" w:fill="FFFFFF"/>
        </w:rPr>
        <w:t>hemoglobin</w:t>
      </w:r>
      <w:proofErr w:type="spellEnd"/>
      <w:r w:rsidR="00CC14F6">
        <w:rPr>
          <w:rFonts w:cstheme="minorHAnsi"/>
          <w:color w:val="000000"/>
          <w:shd w:val="clear" w:color="auto" w:fill="FFFFFF"/>
        </w:rPr>
        <w:t xml:space="preserve"> in humans </w:t>
      </w:r>
      <w:r w:rsidR="00CC14F6">
        <w:rPr>
          <w:rFonts w:cstheme="minorHAnsi"/>
          <w:color w:val="000000"/>
          <w:shd w:val="clear" w:color="auto" w:fill="FFFFFF"/>
        </w:rPr>
        <w:fldChar w:fldCharType="begin" w:fldLock="1"/>
      </w:r>
      <w:r w:rsidR="00CC14F6">
        <w:rPr>
          <w:rFonts w:cstheme="minorHAnsi"/>
          <w:color w:val="000000"/>
          <w:shd w:val="clear" w:color="auto" w:fill="FFFFFF"/>
        </w:rPr>
        <w:instrText>ADDIN CSL_CITATION {"citationItems":[{"id":"ITEM-1","itemData":{"DOI":"10.1093/jn/nxy321","ISSN":"15416100","abstract":"Copyright © American Society for Nutrition 2019. Background: Decreased dietary meat may deplete iron stores, as plant-derived iron bioavailability is typically limited. Objectives: We explored the effect of a low-meat Mediterranean (green-MED) diet, supplemented with Wolffia globosa duckweed (Mankai: rich in protein and iron) as a food source for humans, on iron status. We further examined the iron bioavailability of Mankai in rats. Methods: Two hundred and ninety-four abdominally obese/dyslipidemic [mean age = 51.1 y; body mass index (kg/m2) = 31.3; 88% men] nonanemic participants were randomly assigned to physical activity (PA), PA + MED diet, or PA + green-MED diet. Both isocaloric MED groups consumed 28 g walnuts/d and the low-meat green-MED group further consumed green tea (800 mL/d) and Mankai (100 g green shake/d). In a complementary animal experiment, after 44 d of an iron deficiency anemia-inducing diet, 50 female rats (age = 3 wk; Sprague Dawley strain) were randomly assigned into: iron-deficient diet (vehicle), or vehicle + iso-iron: ferrous gluconate (FG) 14, Mankai 50, and Mankai 80 versions (1.7 mg · kg-1 · d-1 elemental iron), or FG9.5 and Mankai 50-C version (1.15 mg · kg-1 · d-1 elemental iron). The specific primary aim for both studies was changes in iron homeostasis parameters. Results: After 6 mo of intervention, iron status trajectory did not differ between the PA and PA + MED groups. Hemoglobin modestly increased in the PA + green-MED group (0.23 g/dL) compared with PA (-0.1 g/dL; P &lt; 0.001) and PA + MED (-0.1 g/dL; P &lt; 0.001). Serum iron and serum transferrin saturation increased in the PA + green-MED group compared with the PA group (8.21 μg/dL compared with -5.23 μg/dL and 2.39% compared with -1.15%, respectively; P &lt; 0.05 for both comparisons), as did folic acid (P = 0.011). In rats, hemoglobin decreased from 15.7 to 9.4 mg/dL after 44 d of diet-induced anemia. After depletion treatment, the vehicle-treated group had a further decrease of 1.3 mg/dL, whereas hemoglobin concentrations in both FG and Mankai iso-iron treatments similarly rebounded (FG14: +10.8 mg/dL, Mankai 50: +6.4 mg/dL, Mankai 80: +7.3 mg/dL; FG9.5: +5.1 mg/dL, Mankai 50-C: +7.1 mg/dL; P &lt; 0.05 for all vs. the vehicle group). Conclusions: In humans, a green-MED low-meat diet does not impair iron homeostasis. In rats, iron derived from Mankai (a green-plant protein source) is bioavailable and efficient in reversal of anemia. This trial was registered at clinicalt…","author":[{"dropping-particle":"","family":"Yaskolka Meir","given":"A.","non-dropping-particle":"","parse-names":false,"suffix":""},{"dropping-particle":"","family":"Tsaban","given":"G.","non-dropping-particle":"","parse-names":false,"suffix":""},{"dropping-particle":"","family":"Zelicha","given":"H.","non-dropping-particle":"","parse-names":false,"suffix":""},{"dropping-particle":"","family":"Rinott","given":"E.","non-dropping-particle":"","parse-names":false,"suffix":""},{"dropping-particle":"","family":"Kaplan","given":"A.","non-dropping-particle":"","parse-names":false,"suffix":""},{"dropping-particle":"","family":"Youngster","given":"I.","non-dropping-particle":"","parse-names":false,"suffix":""},{"dropping-particle":"","family":"Rudich","given":"A.","non-dropping-particle":"","parse-names":false,"suffix":""},{"dropping-particle":"","family":"Shelef","given":"I.","non-dropping-particle":"","parse-names":false,"suffix":""},{"dropping-particle":"","family":"Tirosh","given":"A.","non-dropping-particle":"","parse-names":false,"suffix":""},{"dropping-particle":"","family":"Brikner","given":"D.","non-dropping-particle":"","parse-names":false,"suffix":""},{"dropping-particle":"","family":"Pupkin","given":"E.","non-dropping-particle":"","parse-names":false,"suffix":""},{"dropping-particle":"","family":"Sarusi","given":"B.","non-dropping-particle":"","parse-names":false,"suffix":""},{"dropping-particle":"","family":"Blüher","given":"M.","non-dropping-particle":"","parse-names":false,"suffix":""},{"dropping-particle":"","family":"Stümvoll","given":"M.","non-dropping-particle":"","parse-names":false,"suffix":""},{"dropping-particle":"","family":"Thiery","given":"J.","non-dropping-particle":"","parse-names":false,"suffix":""},{"dropping-particle":"","family":"Ceglarek","given":"U.","non-dropping-particle":"","parse-names":false,"suffix":""},{"dropping-particle":"","family":"Stampfer","given":"M.J.","non-dropping-particle":"","parse-names":false,"suffix":""},{"dropping-particle":"","family":"Shai","given":"I.","non-dropping-particle":"","parse-names":false,"suffix":""}],"container-title":"Journal of Nutrition","id":"ITEM-1","issue":"6","issued":{"date-parts":[["2019"]]},"title":"A Green-Mediterranean Diet, Supplemented with Mankai Duckweed, Preserves Iron-Homeostasis in Humans and Is Efficient in Reversal of Anemia in Rats","type":"article-journal","volume":"149"},"uris":["http://www.mendeley.com/documents/?uuid=5adde7a2-fcc3-3968-816e-a452b2c75e5d"]}],"mendeley":{"formattedCitation":"(2)","plainTextFormattedCitation":"(2)","previouslyFormattedCitation":"(2)"},"properties":{"noteIndex":0},"schema":"https://github.com/citation-style-language/schema/raw/master/csl-citation.json"}</w:instrText>
      </w:r>
      <w:r w:rsidR="00CC14F6">
        <w:rPr>
          <w:rFonts w:cstheme="minorHAnsi"/>
          <w:color w:val="000000"/>
          <w:shd w:val="clear" w:color="auto" w:fill="FFFFFF"/>
        </w:rPr>
        <w:fldChar w:fldCharType="separate"/>
      </w:r>
      <w:r w:rsidR="00CC14F6" w:rsidRPr="00CC14F6">
        <w:rPr>
          <w:rFonts w:cstheme="minorHAnsi"/>
          <w:noProof/>
          <w:color w:val="000000"/>
          <w:shd w:val="clear" w:color="auto" w:fill="FFFFFF"/>
        </w:rPr>
        <w:t>(2)</w:t>
      </w:r>
      <w:r w:rsidR="00CC14F6">
        <w:rPr>
          <w:rFonts w:cstheme="minorHAnsi"/>
          <w:color w:val="000000"/>
          <w:shd w:val="clear" w:color="auto" w:fill="FFFFFF"/>
        </w:rPr>
        <w:fldChar w:fldCharType="end"/>
      </w:r>
      <w:r w:rsidR="00CC14F6">
        <w:rPr>
          <w:rFonts w:cstheme="minorHAnsi"/>
          <w:color w:val="000000"/>
          <w:shd w:val="clear" w:color="auto" w:fill="FFFFFF"/>
        </w:rPr>
        <w:t xml:space="preserve"> and has shown to contain true and bioavailable vitamin B12 </w:t>
      </w:r>
      <w:r w:rsidR="00CC14F6">
        <w:rPr>
          <w:rFonts w:cstheme="minorHAnsi"/>
          <w:color w:val="000000"/>
          <w:shd w:val="clear" w:color="auto" w:fill="FFFFFF"/>
        </w:rPr>
        <w:fldChar w:fldCharType="begin" w:fldLock="1"/>
      </w:r>
      <w:r w:rsidR="00466211">
        <w:rPr>
          <w:rFonts w:cstheme="minorHAnsi"/>
          <w:color w:val="000000"/>
          <w:shd w:val="clear" w:color="auto" w:fill="FFFFFF"/>
        </w:rPr>
        <w:instrText>ADDIN CSL_CITATION {"citationItems":[{"id":"ITEM-1","itemData":{"DOI":"10.3390/nu12103067","ISSN":"20726643","PMID":"33049929","abstract":"Background: Rare plants that contain corrinoid compounds mostly comprise cobalamin analogues, which may compete with cobalamin (vitamin B12 (B12 )) metabolism. We examined the presence of B12 in a cultivated strain of an aquatic plant: Wolffia globosa (Mankai), and predicted functional pathways using gut-bioreactor, and the effects of long-term Mankai consumption as a partial meat substitute, on serum B12 concentrations. Methods: We used microbiological assay, liquid-chromatography/electrospray-ionization-tandem-mass-spectrometry (LC-MS/MS), and anoxic bioreactors for the B12 experiments. We explored the effect of a green Mediterranean/low-meat diet, containing 100 g of frozen Mankai shake/day, on serum B12 levels during the 18-month DIRECT-PLUS (ID:NCT03020186) weight-loss trial, compared with control and Mediterranean diet groups. Results: The B12 content of Mankai was consistent at different seasons (p = 0.76). Several cobalamin congeners (Hydroxocobalamin(OH-B12 ); 5-deoxyadenosylcobalamin(Ado-B12 ); methylcobalamin(Me-B12 ); cyanocobalamin(CN-B12 )) were identified in Mankai extracts, whereas no pseudo B12 was detected. A higher abundance of 16S-rRNA gene amplicon sequences associated with a genome containing a KEGG ortholog involved in microbial B12 metabolism were observed, compared with control bioreactors that lacked Mankai. Following the DIRECT-PLUS intervention (n = 294 participants; retention-rate = 89%; baseline B12 = 420.5 ± 187.8 pg/mL), serum B12 increased by 5.2% in control, 9.9% in Mediterranean, and 15.4% in Mankai-containing green Mediterranean/low-meat diets (p = 0.025 between extreme groups). Conclusions: Mankai plant contains bioactive B12 compounds and could serve as a B12 plant-based food source.","author":[{"dropping-particle":"","family":"Sela","given":"Ilan","non-dropping-particle":"","parse-names":false,"suffix":""},{"dropping-particle":"","family":"Meir","given":"Anat Yaskolka","non-dropping-particle":"","parse-names":false,"suffix":""},{"dropping-particle":"","family":"Brandis","given":"Alexander","non-dropping-particle":"","parse-names":false,"suffix":""},{"dropping-particle":"","family":"Krajmalnik-Brown","given":"Rosa","non-dropping-particle":"","parse-names":false,"suffix":""},{"dropping-particle":"","family":"Zeibich","given":"Lydia","non-dropping-particle":"","parse-names":false,"suffix":""},{"dropping-particle":"","family":"Chang","given":"Debbie","non-dropping-particle":"","parse-names":false,"suffix":""},{"dropping-particle":"","family":"Dirks","given":"Blake","non-dropping-particle":"","parse-names":false,"suffix":""},{"dropping-particle":"","family":"Tsaban","given":"Gal","non-dropping-particle":"","parse-names":false,"suffix":""},{"dropping-particle":"","family":"Kaplan","given":"Alon","non-dropping-particle":"","parse-names":false,"suffix":""},{"dropping-particle":"","family":"Rinott","given":"Ehud","non-dropping-particle":"","parse-names":false,"suffix":""},{"dropping-particle":"","family":"Zelicha","given":"Hila","non-dropping-particle":"","parse-names":false,"suffix":""},{"dropping-particle":"","family":"Arinos","given":"Shira","non-dropping-particle":"","parse-names":false,"suffix":""},{"dropping-particle":"","family":"Ceglarek","given":"Uta","non-dropping-particle":"","parse-names":false,"suffix":""},{"dropping-particle":"","family":"Isermann","given":"Berend","non-dropping-particle":"","parse-names":false,"suffix":""},{"dropping-particle":"","family":"Lapidot","given":"Miri","non-dropping-particle":"","parse-names":false,"suffix":""},{"dropping-particle":"","family":"Green","given":"Ralph","non-dropping-particle":"","parse-names":false,"suffix":""},{"dropping-particle":"","family":"Shai","given":"Iris","non-dropping-particle":"","parse-names":false,"suffix":""}],"container-title":"Nutrients","id":"ITEM-1","issue":"10","issued":{"date-parts":[["2020"]]},"page":"1-17","title":"Wolffia globosa–mankai plant-based protein contains bioactive vitamin b12 and is well absorbed in humans","type":"article-journal","volume":"12"},"uris":["http://www.mendeley.com/documents/?uuid=62068039-55fa-4a13-bec5-4178569a132d"]}],"mendeley":{"formattedCitation":"(3)","plainTextFormattedCitation":"(3)","previouslyFormattedCitation":"(3)"},"properties":{"noteIndex":0},"schema":"https://github.com/citation-style-language/schema/raw/master/csl-citation.json"}</w:instrText>
      </w:r>
      <w:r w:rsidR="00CC14F6">
        <w:rPr>
          <w:rFonts w:cstheme="minorHAnsi"/>
          <w:color w:val="000000"/>
          <w:shd w:val="clear" w:color="auto" w:fill="FFFFFF"/>
        </w:rPr>
        <w:fldChar w:fldCharType="separate"/>
      </w:r>
      <w:r w:rsidR="00CC14F6" w:rsidRPr="00CC14F6">
        <w:rPr>
          <w:rFonts w:cstheme="minorHAnsi"/>
          <w:noProof/>
          <w:color w:val="000000"/>
          <w:shd w:val="clear" w:color="auto" w:fill="FFFFFF"/>
        </w:rPr>
        <w:t>(3)</w:t>
      </w:r>
      <w:r w:rsidR="00CC14F6">
        <w:rPr>
          <w:rFonts w:cstheme="minorHAnsi"/>
          <w:color w:val="000000"/>
          <w:shd w:val="clear" w:color="auto" w:fill="FFFFFF"/>
        </w:rPr>
        <w:fldChar w:fldCharType="end"/>
      </w:r>
      <w:r w:rsidR="00CC14F6">
        <w:rPr>
          <w:rFonts w:cstheme="minorHAnsi"/>
          <w:color w:val="000000"/>
          <w:shd w:val="clear" w:color="auto" w:fill="FFFFFF"/>
        </w:rPr>
        <w:t>.</w:t>
      </w:r>
      <w:r w:rsidRPr="006F7C19">
        <w:rPr>
          <w:rFonts w:cstheme="minorHAnsi"/>
          <w:color w:val="000000"/>
          <w:shd w:val="clear" w:color="auto" w:fill="FFFFFF"/>
        </w:rPr>
        <w:t xml:space="preserve"> </w:t>
      </w:r>
      <w:r w:rsidRPr="006F7C19">
        <w:rPr>
          <w:rFonts w:cstheme="minorHAnsi"/>
        </w:rPr>
        <w:t xml:space="preserve">The daily amount of </w:t>
      </w:r>
      <w:r w:rsidRPr="006F7C19">
        <w:rPr>
          <w:rFonts w:cstheme="minorHAnsi"/>
          <w:i/>
          <w:iCs/>
        </w:rPr>
        <w:t>Wolffia globosa</w:t>
      </w:r>
      <w:r w:rsidRPr="006F7C19">
        <w:rPr>
          <w:rFonts w:cstheme="minorHAnsi"/>
        </w:rPr>
        <w:t xml:space="preserve"> administered in this study contributed 16%, 5.7%, and 2.4% of the Dietary Reference Index (DRI) of protein, carbohydrates, and fat, respectively </w:t>
      </w:r>
      <w:r w:rsidRPr="006F7C19">
        <w:rPr>
          <w:rFonts w:cstheme="minorHAnsi"/>
        </w:rPr>
        <w:fldChar w:fldCharType="begin" w:fldLock="1"/>
      </w:r>
      <w:r w:rsidR="00466211">
        <w:rPr>
          <w:rFonts w:cstheme="minorHAnsi"/>
        </w:rPr>
        <w:instrText>ADDIN CSL_CITATION {"citationItems":[{"id":"ITEM-1","itemData":{"DOI":"10.17226/11537","ISBN":"978-0-309-15742-1","author":[{"dropping-particle":"","family":"Medicine","given":"Institute of","non-dropping-particle":"","parse-names":false,"suffix":""}],"id":"ITEM-1","issued":{"date-parts":[["2006","8","29"]]},"publisher":"National Academies Press","publisher-place":"Washington, D.C.","title":"Dietary Reference Intakes","type":"book"},"uris":["http://www.mendeley.com/documents/?uuid=165e11e1-4008-342c-82c3-416d39b4088a"]}],"mendeley":{"formattedCitation":"(4)","plainTextFormattedCitation":"(4)","previouslyFormattedCitation":"(4)"},"properties":{"noteIndex":0},"schema":"https://github.com/citation-style-language/schema/raw/master/csl-citation.json"}</w:instrText>
      </w:r>
      <w:r w:rsidRPr="006F7C19">
        <w:rPr>
          <w:rFonts w:cstheme="minorHAnsi"/>
        </w:rPr>
        <w:fldChar w:fldCharType="separate"/>
      </w:r>
      <w:r w:rsidR="00CC14F6" w:rsidRPr="00CC14F6">
        <w:rPr>
          <w:rFonts w:cstheme="minorHAnsi"/>
          <w:noProof/>
        </w:rPr>
        <w:t>(4)</w:t>
      </w:r>
      <w:r w:rsidRPr="006F7C19">
        <w:rPr>
          <w:rFonts w:cstheme="minorHAnsi"/>
        </w:rPr>
        <w:fldChar w:fldCharType="end"/>
      </w:r>
      <w:r w:rsidRPr="006F7C19">
        <w:rPr>
          <w:rFonts w:cstheme="minorHAnsi"/>
        </w:rPr>
        <w:t xml:space="preserve">. This amount of </w:t>
      </w:r>
      <w:r w:rsidRPr="006F7C19">
        <w:rPr>
          <w:rFonts w:cstheme="minorHAnsi"/>
          <w:i/>
          <w:iCs/>
        </w:rPr>
        <w:t>Wolffia globosa</w:t>
      </w:r>
      <w:r w:rsidRPr="006F7C19">
        <w:rPr>
          <w:rFonts w:cstheme="minorHAnsi"/>
        </w:rPr>
        <w:t xml:space="preserve"> also accounted for the following percentages of DRI: 18% of dietary </w:t>
      </w:r>
      <w:proofErr w:type="spellStart"/>
      <w:r w:rsidRPr="006F7C19">
        <w:rPr>
          <w:rFonts w:cstheme="minorHAnsi"/>
        </w:rPr>
        <w:t>fiber</w:t>
      </w:r>
      <w:proofErr w:type="spellEnd"/>
      <w:r w:rsidRPr="006F7C19">
        <w:rPr>
          <w:rFonts w:cstheme="minorHAnsi"/>
        </w:rPr>
        <w:t>, 49% of vitamin A, 21% of vitamin B12, 26% of vitamin E, 61% of folic acid, 168% of iron, and 35% of zinc</w:t>
      </w:r>
      <w:r w:rsidR="00CC14F6">
        <w:rPr>
          <w:rFonts w:cstheme="minorHAnsi"/>
        </w:rPr>
        <w:t xml:space="preserve"> </w:t>
      </w:r>
      <w:r w:rsidRPr="006F7C19">
        <w:rPr>
          <w:rFonts w:cstheme="minorHAnsi"/>
        </w:rPr>
        <w:fldChar w:fldCharType="begin" w:fldLock="1"/>
      </w:r>
      <w:r w:rsidR="00466211">
        <w:rPr>
          <w:rFonts w:cstheme="minorHAnsi"/>
        </w:rPr>
        <w:instrText>ADDIN CSL_CITATION {"citationItems":[{"id":"ITEM-1","itemData":{"DOI":"10.17226/10026","ISBN":"0309072794","PMID":"25057538","abstract":"This volume is the newest release in the authoritative series issued by the National Academy of Sciences on dietary reference intakes (DRIs). This series provides recommended intakes, such as Recommended Dietary Allowances (RDAs), for use in planning nutritionally adequate diets for individuals based on age and gender. In addition, a new reference intake, the Tolerable Upper Intake Level (UL), has also been established to assist an individual in knowing how much is \"too much\" of a nutrient. Based on the Institute of Medicine's review of the scientific literature regarding dietary micronutrients, recommendations have been formulated regarding vitamins A and K, iron, iodine, chromium, copper, manganese, molybdenum, zinc, and other potentially beneficial trace elements such as boron to determine the roles, if any, they play in health. The book also: Reviews selected components of food that may influence the bioavailability of these compounds. Develops estimates of dietary intake of these compounds that are compatible with good nutrition throughout the life span and that may decrease risk of chronic disease where data indicate they play a role. Determines Tolerable Upper Intake levels for each nutrient reviewed where adequate scientific data are available in specific population subgroups. Identifies research needed to improve knowledge of the role of these micronutrients in human health. This book will be important to professionals in nutrition research and education.","author":[{"dropping-particle":"","family":"Micronutrients","given":"Institute of Medicine (US) Panel on","non-dropping-particle":"","parse-names":false,"suffix":""}],"container-title":"Dietary Reference Intakes for Vitamin A, Vitamin K, Arsenic, Boron, Chromium, Copper, Iodine, Iron, Manganese, Molybdenum, Nickel, Silicon, Vanadium, and Zinc","id":"ITEM-1","issued":{"date-parts":[["2001"]]},"publisher":"National Academies Press (US)","title":"Dietary Reference Intakes for Vitamin A, Vitamin K, Arsenic, Boron, Chromium, Copper, Iodine, Iron, Manganese, Molybdenum, Nickel, Silicon, Vanadium, and Zinc","type":"book"},"uris":["http://www.mendeley.com/documents/?uuid=d9647978-507a-3a7a-8362-b8fb78a62811"]}],"mendeley":{"formattedCitation":"(5)","plainTextFormattedCitation":"(5)","previouslyFormattedCitation":"(5)"},"properties":{"noteIndex":0},"schema":"https://github.com/citation-style-language/schema/raw/master/csl-citation.json"}</w:instrText>
      </w:r>
      <w:r w:rsidRPr="006F7C19">
        <w:rPr>
          <w:rFonts w:cstheme="minorHAnsi"/>
        </w:rPr>
        <w:fldChar w:fldCharType="separate"/>
      </w:r>
      <w:r w:rsidR="00CC14F6" w:rsidRPr="00CC14F6">
        <w:rPr>
          <w:rFonts w:cstheme="minorHAnsi"/>
          <w:noProof/>
        </w:rPr>
        <w:t>(5)</w:t>
      </w:r>
      <w:r w:rsidRPr="006F7C19">
        <w:rPr>
          <w:rFonts w:cstheme="minorHAnsi"/>
        </w:rPr>
        <w:fldChar w:fldCharType="end"/>
      </w:r>
      <w:r w:rsidRPr="006F7C19">
        <w:rPr>
          <w:rFonts w:cstheme="minorHAnsi"/>
        </w:rPr>
        <w:t xml:space="preserve">. </w:t>
      </w:r>
      <w:r w:rsidRPr="006F7C19">
        <w:rPr>
          <w:rFonts w:cstheme="minorHAnsi"/>
          <w:i/>
          <w:iCs/>
        </w:rPr>
        <w:t>Wolffia globosa</w:t>
      </w:r>
      <w:r w:rsidRPr="006F7C19">
        <w:rPr>
          <w:rFonts w:cstheme="minorHAnsi"/>
        </w:rPr>
        <w:t xml:space="preserve"> has relatively high total polyphenol content</w:t>
      </w:r>
      <w:r w:rsidRPr="006F7C19">
        <w:rPr>
          <w:rFonts w:cstheme="minorHAnsi"/>
          <w:noProof/>
        </w:rPr>
        <w:t>, mainly phenolic acids and flavonoids (including catechins).</w:t>
      </w:r>
      <w:r w:rsidR="00466211">
        <w:rPr>
          <w:rFonts w:cstheme="minorHAnsi"/>
        </w:rPr>
        <w:t xml:space="preserve"> Regular consumption </w:t>
      </w:r>
      <w:r w:rsidR="00466211" w:rsidRPr="006F7C19">
        <w:rPr>
          <w:rFonts w:cstheme="minorHAnsi"/>
          <w:i/>
          <w:iCs/>
        </w:rPr>
        <w:t xml:space="preserve">Wolffia </w:t>
      </w:r>
      <w:r w:rsidR="00466211">
        <w:rPr>
          <w:rFonts w:cstheme="minorHAnsi"/>
          <w:i/>
          <w:iCs/>
        </w:rPr>
        <w:t xml:space="preserve">globosa </w:t>
      </w:r>
      <w:r w:rsidR="00466211">
        <w:rPr>
          <w:rFonts w:cstheme="minorHAnsi"/>
        </w:rPr>
        <w:t xml:space="preserve">was found have beneficial effects on postprandial </w:t>
      </w:r>
      <w:proofErr w:type="spellStart"/>
      <w:r w:rsidR="00466211">
        <w:rPr>
          <w:rFonts w:cstheme="minorHAnsi"/>
        </w:rPr>
        <w:t>glycemic</w:t>
      </w:r>
      <w:proofErr w:type="spellEnd"/>
      <w:r w:rsidR="00466211">
        <w:rPr>
          <w:rFonts w:cstheme="minorHAnsi"/>
        </w:rPr>
        <w:t xml:space="preserve"> response as compared to yogurt shake </w:t>
      </w:r>
      <w:r w:rsidR="00466211">
        <w:rPr>
          <w:rFonts w:cstheme="minorHAnsi"/>
        </w:rPr>
        <w:fldChar w:fldCharType="begin" w:fldLock="1"/>
      </w:r>
      <w:r w:rsidR="00466211">
        <w:rPr>
          <w:rFonts w:cstheme="minorHAnsi"/>
        </w:rPr>
        <w:instrText>ADDIN CSL_CITATION {"citationItems":[{"id":"ITEM-1","itemData":{"DOI":"10.2337/dc18-2319","ISSN":"19355548","author":[{"dropping-particle":"","family":"Zelicha","given":"Hila","non-dropping-particle":"","parse-names":false,"suffix":""},{"dropping-particle":"","family":"Kaplan","given":"Alon","non-dropping-particle":"","parse-names":false,"suffix":""},{"dropping-particle":"","family":"Meir","given":"A.Y. Anat Yaskolka","non-dropping-particle":"","parse-names":false,"suffix":""},{"dropping-particle":"","family":"Tsaban","given":"Gal","non-dropping-particle":"","parse-names":false,"suffix":""},{"dropping-particle":"","family":"Rinott","given":"Ehud","non-dropping-particle":"","parse-names":false,"suffix":""},{"dropping-particle":"","family":"Shelef","given":"Ilan","non-dropping-particle":"","parse-names":false,"suffix":""},{"dropping-particle":"","family":"Tirosh","given":"Amir","non-dropping-particle":"","parse-names":false,"suffix":""},{"dropping-particle":"","family":"Brikner","given":"Dov","non-dropping-particle":"","parse-names":false,"suffix":""},{"dropping-particle":"","family":"Pupkin","given":"Efrat","non-dropping-particle":"","parse-names":false,"suffix":""},{"dropping-particle":"","family":"Qi","given":"Lu","non-dropping-particle":"","parse-names":false,"suffix":""},{"dropping-particle":"","family":"Thiery","given":"Joachim","non-dropping-particle":"","parse-names":false,"suffix":""},{"dropping-particle":"","family":"Stumvoll","given":"Michael","non-dropping-particle":"","parse-names":false,"suffix":""},{"dropping-particle":"","family":"Kloting","given":"Nora","non-dropping-particle":"","parse-names":false,"suffix":""},{"dropping-particle":"","family":"Bergen","given":"Martin","non-dropping-particle":"Von","parse-names":false,"suffix":""},{"dropping-particle":"","family":"Ceglarek","given":"Uta","non-dropping-particle":"","parse-names":false,"suffix":""},{"dropping-particle":"","family":"Blüher","given":"Matthias","non-dropping-particle":"","parse-names":false,"suffix":""},{"dropping-particle":"","family":"Stampfer","given":"M.J. Meir J.","non-dropping-particle":"","parse-names":false,"suffix":""},{"dropping-particle":"","family":"Shai","given":"Iris","non-dropping-particle":"","parse-names":false,"suffix":""}],"container-title":"Diabetes Care","id":"ITEM-1","issue":"7","issued":{"date-parts":[["2019"]]},"page":"1162-1169","publisher":"American Diabetes Association Inc.","title":"The effect of wolffia globosa mankai, a green aquatic plant, on postprandial glycemic response: A randomized crossover controlled trial","type":"article-journal","volume":"42"},"uris":["http://www.mendeley.com/documents/?uuid=20a84efc-4085-407b-8554-7deed3e2e9c6"]}],"mendeley":{"formattedCitation":"(6)","plainTextFormattedCitation":"(6)"},"properties":{"noteIndex":0},"schema":"https://github.com/citation-style-language/schema/raw/master/csl-citation.json"}</w:instrText>
      </w:r>
      <w:r w:rsidR="00466211">
        <w:rPr>
          <w:rFonts w:cstheme="minorHAnsi"/>
        </w:rPr>
        <w:fldChar w:fldCharType="separate"/>
      </w:r>
      <w:r w:rsidR="00466211" w:rsidRPr="00466211">
        <w:rPr>
          <w:rFonts w:cstheme="minorHAnsi"/>
          <w:noProof/>
        </w:rPr>
        <w:t>(6)</w:t>
      </w:r>
      <w:r w:rsidR="00466211">
        <w:rPr>
          <w:rFonts w:cstheme="minorHAnsi"/>
        </w:rPr>
        <w:fldChar w:fldCharType="end"/>
      </w:r>
      <w:r w:rsidR="00466211">
        <w:rPr>
          <w:rFonts w:cstheme="minorHAnsi"/>
        </w:rPr>
        <w:t xml:space="preserve">. </w:t>
      </w:r>
      <w:r w:rsidRPr="006F7C19">
        <w:rPr>
          <w:rFonts w:cstheme="minorHAnsi"/>
        </w:rPr>
        <w:t xml:space="preserve">The </w:t>
      </w:r>
      <w:r w:rsidRPr="006F7C19">
        <w:rPr>
          <w:rFonts w:cstheme="minorHAnsi"/>
          <w:i/>
          <w:iCs/>
        </w:rPr>
        <w:t>Wolffia globosa</w:t>
      </w:r>
      <w:r w:rsidRPr="006F7C19">
        <w:rPr>
          <w:rFonts w:cstheme="minorHAnsi"/>
        </w:rPr>
        <w:t xml:space="preserve"> supplied in this study was cultivated under completely controlled and optimized growth conditions, and thus is free of heavy metal and bacterial contamination, as confirmed by laboratory measurements.</w:t>
      </w:r>
    </w:p>
    <w:p w14:paraId="58FDCA0B" w14:textId="113ED802" w:rsidR="00A35360" w:rsidRPr="006F7C19" w:rsidRDefault="00A35360" w:rsidP="00A35360">
      <w:pPr>
        <w:spacing w:line="480" w:lineRule="auto"/>
        <w:rPr>
          <w:rFonts w:cstheme="minorHAnsi"/>
          <w:b/>
          <w:bCs/>
        </w:rPr>
      </w:pPr>
      <w:r w:rsidRPr="006F7C19">
        <w:rPr>
          <w:rFonts w:cstheme="minorHAnsi"/>
          <w:b/>
          <w:bCs/>
        </w:rPr>
        <w:t xml:space="preserve">Supplement </w:t>
      </w:r>
      <w:r w:rsidR="006F7C19" w:rsidRPr="006F7C19">
        <w:rPr>
          <w:rFonts w:cstheme="minorHAnsi"/>
          <w:b/>
          <w:bCs/>
        </w:rPr>
        <w:t>2</w:t>
      </w:r>
      <w:r w:rsidRPr="006F7C19">
        <w:rPr>
          <w:rFonts w:cstheme="minorHAnsi"/>
          <w:b/>
          <w:bCs/>
        </w:rPr>
        <w:t xml:space="preserve">: Fat deposits assessment by Magnetic Resonance Imaging </w:t>
      </w:r>
    </w:p>
    <w:p w14:paraId="51500333" w14:textId="176BFC11" w:rsidR="00194774" w:rsidRPr="00EB169A" w:rsidRDefault="00194774" w:rsidP="002B008A">
      <w:pPr>
        <w:spacing w:line="480" w:lineRule="auto"/>
        <w:rPr>
          <w:highlight w:val="yellow"/>
        </w:rPr>
      </w:pPr>
      <w:r>
        <w:rPr>
          <w:rFonts w:ascii="Calibri" w:hAnsi="Calibri" w:cs="Calibri"/>
        </w:rPr>
        <w:t>Abdominal fat</w:t>
      </w:r>
      <w:r>
        <w:rPr>
          <w:rFonts w:ascii="Calibri" w:hAnsi="Calibri" w:cs="Calibri"/>
          <w:lang w:val="en-US"/>
        </w:rPr>
        <w:t xml:space="preserve">s: </w:t>
      </w:r>
      <w:r>
        <w:t>were assessed at baseline and after 18 months using 3-Tesla MRI (</w:t>
      </w:r>
      <w:proofErr w:type="spellStart"/>
      <w:r>
        <w:t>Ingenia</w:t>
      </w:r>
      <w:proofErr w:type="spellEnd"/>
      <w:r>
        <w:t xml:space="preserve"> 3.0 T, Philips Healthcare, Best, the Netherlands) scans</w:t>
      </w:r>
      <w:r w:rsidR="00E70670">
        <w:t xml:space="preserve"> </w:t>
      </w:r>
      <w:r w:rsidR="00E70670">
        <w:fldChar w:fldCharType="begin" w:fldLock="1"/>
      </w:r>
      <w:r w:rsidR="00466211">
        <w:instrText>ADDIN CSL_CITATION {"citationItems":[{"id":"ITEM-1","itemData":{"DOI":"10.1161/CIRCULATIONAHA.117.030501","ISBN":"0009-7322","ISSN":"0009-7322","PMID":"29142011","abstract":"Background -We aimed to assess whether distinct lifestyle strategies can differentially affect specific body adipose depots. Methods -We performed an eighteen-month randomized controlled trial among 278 sedentary adults with abdominal obesity (75%) or dyslipidemia in an isolated workplace with a monitored provided lunch. Participants were randomized to iso-caloric low-fat (LF) or Mediterranean/low-carbohydrate (MED/LC) diet+28g walnuts/day with/without added moderate physical activity (PA;80% aerobic; supervised/free gym membership). Overall primary outcome was body fat re-distribution, and the main specific endpoint was visceral adipose tissue (VAT). We further followed the dynamics of different fat depots [deep/superficial subcutaneous (D/SSAT), liver, pericardial, muscle, pancreas and renal-sinus] by magnetic-resonance-imaging. Results -Of 278 participants (age=48y; 89%men, body-mass-index=30.8kg/m2), 86% completed the trial, with good adherence. The LF group preferentially decreased reported fat intake (-21.0% vs. -11.5% for the MED/LC; P&lt;0.001), and the MED/LC group decreased reported carbohydrates intake (-39.5%vs. -21.3% for the LF;P&lt;0.001). The PA+ groups significantly increased the metabolic-equivalents (METs)/week vs. the PA- groups (19.0 vs. 2.1;P=0.009). Whereas final moderate weight loss was indifferent, exercise attenuated the waist circumference rebound with the greatest effect in MED/LCPA+ group (P&lt;0.05). VAT (-22%), intra-hepatic (-29%), and Intra-pericardial (-11%) fats declines were higher than pancreatic and femur intermuscular fats (1-2%) loss. Independent of weight loss, PA+ with either diet had a significantly greater effect on decreasing VAT [mean-of-difference=-6.67cm2;95%CI:(-14.8 to -0.45) compared with PA-]. The MED/LC diet was superior to LF in decreasing intra-hepatic, intra-pericardial and pancreatic fats (P&lt;0.05 for all). In contrast, renal-sinus and femoral-intermuscular fats were not differentially altered by lifestyle interventions, but by weight loss per-se. In multivariate models, further adjusted for weight loss, losing VAT or intra-hepatic fat were independently associated with improved lipid profile, losing deep-SAT with improved insulin sensitivity and losing superficial-SAT remained neutral except of association with decreased leptin. Conclusions -Moderate weight loss alone inadequately reflects the significant lifestyle effects on atherogenic and diabetogenic fat depots. The MED/LC diet mobilizes specific ectop…","author":[{"dropping-particle":"","family":"Gepner","given":"Yftach","non-dropping-particle":"","parse-names":false,"suffix":""},{"dropping-particle":"","family":"Shelef","given":"Ilan","non-dropping-particle":"","parse-names":false,"suffix":""},{"dropping-particle":"","family":"Schwarzfuchs","given":"Dan","non-dropping-particle":"","parse-names":false,"suffix":""},{"dropping-particle":"","family":"Zelicha","given":"Hila","non-dropping-particle":"","parse-names":false,"suffix":""},{"dropping-particle":"","family":"Tene","given":"Lilac","non-dropping-particle":"","parse-names":false,"suffix":""},{"dropping-particle":"","family":"Yaskolka Meir","given":"Anat","non-dropping-particle":"","parse-names":false,"suffix":""},{"dropping-particle":"","family":"Tsaban","given":"Gal","non-dropping-particle":"","parse-names":false,"suffix":""},{"dropping-particle":"","family":"Cohen","given":"Noa","non-dropping-particle":"","parse-names":false,"suffix":""},{"dropping-particle":"","family":"Bril","given":"Nitzan","non-dropping-particle":"","parse-names":false,"suffix":""},{"dropping-particle":"","family":"Rein","given":"Michal","non-dropping-particle":"","parse-names":false,"suffix":""},{"dropping-particle":"","family":"Serfaty","given":"Dana","non-dropping-particle":"","parse-names":false,"suffix":""},{"dropping-particle":"","family":"Kenigsbuch","given":"Shira","non-dropping-particle":"","parse-names":false,"suffix":""},{"dropping-particle":"","family":"Komy","given":"Oded","non-dropping-particle":"","parse-names":false,"suffix":""},{"dropping-particle":"","family":"Wolak","given":"Arik","non-dropping-particle":"","parse-names":false,"suffix":""},{"dropping-particle":"","family":"Chassidim","given":"Yoash","non-dropping-particle":"","parse-names":false,"suffix":""},{"dropping-particle":"","family":"Golan","given":"Rachel","non-dropping-particle":"","parse-names":false,"suffix":""},{"dropping-particle":"","family":"Avni-Hassid","given":"Hilla","non-dropping-particle":"","parse-names":false,"suffix":""},{"dropping-particle":"","family":"Bilitzky","given":"Avital","non-dropping-particle":"","parse-names":false,"suffix":""},{"dropping-particle":"","family":"Sarusi","given":"Benjamin","non-dropping-particle":"","parse-names":false,"suffix":""},{"dropping-particle":"","family":"Goshen","given":"Eyal","non-dropping-particle":"","parse-names":false,"suffix":""},{"dropping-particle":"","family":"Shemesh","given":"Elad","non-dropping-particle":"","parse-names":false,"suffix":""},{"dropping-particle":"","family":"Henkin","given":"Yaakov","non-dropping-particle":"","parse-names":false,"suffix":""},{"dropping-particle":"","family":"Stumvoll","given":"Michael","non-dropping-particle":"","parse-names":false,"suffix":""},{"dropping-particle":"","family":"Blüher","given":"Matthias","non-dropping-particle":"","parse-names":false,"suffix":""},{"dropping-particle":"","family":"Thiery","given":"Joachim","non-dropping-particle":"","parse-names":false,"suffix":""},{"dropping-particle":"","family":"Ceglarek","given":"Uta","non-dropping-particle":"","parse-names":false,"suffix":""},{"dropping-particle":"","family":"Rudich","given":"Assaf","non-dropping-particle":"","parse-names":false,"suffix":""},{"dropping-particle":"","family":"Stampfer","given":"Meir J.","non-dropping-particle":"","parse-names":false,"suffix":""},{"dropping-particle":"","family":"Shai","given":"Iris","non-dropping-particle":"","parse-names":false,"suffix":""}],"container-title":"Circulation","id":"ITEM-1","issued":{"date-parts":[["2017","11","15"]]},"page":"CIRCULATIONAHA.117.030501","publisher":"American Heart Association, Inc.","title":"Effect of Distinct Lifestyle Interventions on Mobilization of Fat Storage Pools: The CENTRAL MRI Randomized Controlled Trial","type":"article-journal"},"uris":["http://www.mendeley.com/documents/?uuid=3e487ce3-4dea-3cf7-973d-e47ff9c5944b"]}],"mendeley":{"formattedCitation":"(7)","plainTextFormattedCitation":"(7)","previouslyFormattedCitation":"(6)"},"properties":{"noteIndex":0},"schema":"https://github.com/citation-style-language/schema/raw/master/csl-citation.json"}</w:instrText>
      </w:r>
      <w:r w:rsidR="00E70670">
        <w:fldChar w:fldCharType="separate"/>
      </w:r>
      <w:r w:rsidR="00466211" w:rsidRPr="00466211">
        <w:rPr>
          <w:noProof/>
        </w:rPr>
        <w:t>(7)</w:t>
      </w:r>
      <w:r w:rsidR="00E70670">
        <w:fldChar w:fldCharType="end"/>
      </w:r>
      <w:r w:rsidR="00E70670">
        <w:t xml:space="preserve">. </w:t>
      </w:r>
      <w:r>
        <w:t>The scanner utilized a 3D modified DIXON (</w:t>
      </w:r>
      <w:proofErr w:type="spellStart"/>
      <w:r>
        <w:t>mDIXON</w:t>
      </w:r>
      <w:proofErr w:type="spellEnd"/>
      <w:r>
        <w:t>) imaging technique without gaps (2mm thickness and 2mm of spacing), fast-low-angle shot (FLASH) sequence with a multi-echo two excitation pulse sequence for phase-sensitive encoding of fat and water signals (TR,3.6ms; TE1,1.19ms; TE2,2.3ms; FOV 520×440×80mm; 2×1.4×1mm voxel size). Four images of the phantoms were generated, including in-phase, out-phase, fat, and water phase</w:t>
      </w:r>
      <w:r w:rsidR="00E70670">
        <w:t xml:space="preserve"> </w:t>
      </w:r>
      <w:r w:rsidR="00E70670">
        <w:fldChar w:fldCharType="begin" w:fldLock="1"/>
      </w:r>
      <w:r w:rsidR="00466211">
        <w:instrText>ADDIN CSL_CITATION {"citationItems":[{"id":"ITEM-1","itemData":{"DOI":"10.1016/j.pnmrs.2013.04.001","ISSN":"00796565","abstract":"Obesity and its co-morbidities, including type II diabetes, insulin resistance and cardiovascular diseases, have become one of the biggest health issues of present times. The impact of obesity goes well beyond the individual and is so far-reaching that, if it continues unabated, it will cause havoc with the economies of most countries. In order to be able to fully understand the relationship between increased adiposity (obesity) and its co-morbidity, it has been necessary to develop proper methodology to accurately and reproducibly determine both body fat content and distribution, including ectopic fat depots. Magnetic Resonance Imaging (MRI) and Spectroscopy (MRS) have recently emerged as the gold-standard for accomplishing this task. Here, we will review the use of different MRI techniques currently being used to determine body fat content and distribution. We also discuss the pros and cons of MRS to determine ectopic fat depots in liver, muscle, pancreas and heart and compare these to emerging MRI techniques currently being put forward to create ectopic fat maps. Finally, we will discuss how MRI/MRS techniques are helping in changing the perception of what is healthy and what is normal and desirable body-fat content and distribution. © 2013 Elsevier B.V. All rights reserved.","author":[{"dropping-particle":"","family":"Thomas","given":"E. L.","non-dropping-particle":"","parse-names":false,"suffix":""},{"dropping-particle":"","family":"Fitzpatrick","given":"J. A.","non-dropping-particle":"","parse-names":false,"suffix":""},{"dropping-particle":"","family":"Malik","given":"S. J.","non-dropping-particle":"","parse-names":false,"suffix":""},{"dropping-particle":"","family":"Taylor-Robinson","given":"S. D.","non-dropping-particle":"","parse-names":false,"suffix":""},{"dropping-particle":"","family":"Bell","given":"J. D.","non-dropping-particle":"","parse-names":false,"suffix":""}],"container-title":"Progress in Nuclear Magnetic Resonance Spectroscopy","id":"ITEM-1","issued":{"date-parts":[["2013"]]},"page":"56-80","publisher":"Elsevier B.V.","title":"Whole body fat: Content and distribution","type":"article","volume":"73"},"uris":["http://www.mendeley.com/documents/?uuid=8e0c623c-1ee6-378f-9b1d-b8ef79c1f684"]}],"mendeley":{"formattedCitation":"(8)","plainTextFormattedCitation":"(8)","previouslyFormattedCitation":"(7)"},"properties":{"noteIndex":0},"schema":"https://github.com/citation-style-language/schema/raw/master/csl-citation.json"}</w:instrText>
      </w:r>
      <w:r w:rsidR="00E70670">
        <w:fldChar w:fldCharType="separate"/>
      </w:r>
      <w:r w:rsidR="00466211" w:rsidRPr="00466211">
        <w:rPr>
          <w:noProof/>
        </w:rPr>
        <w:t>(8)</w:t>
      </w:r>
      <w:r w:rsidR="00E70670">
        <w:fldChar w:fldCharType="end"/>
      </w:r>
      <w:r>
        <w:t xml:space="preserve">. A breath-hold </w:t>
      </w:r>
      <w:r>
        <w:lastRenderedPageBreak/>
        <w:t xml:space="preserve">technique was used to avoid motion artifacts when the abdomen was scanned. The quantifications were performed blindly to the intervention groups. The </w:t>
      </w:r>
      <w:r w:rsidRPr="00593D34">
        <w:t>Inter-class reliabil</w:t>
      </w:r>
      <w:r>
        <w:t>ity comparing a previous trial</w:t>
      </w:r>
      <w:r>
        <w:fldChar w:fldCharType="begin" w:fldLock="1"/>
      </w:r>
      <w:r w:rsidR="00466211">
        <w:instrText>ADDIN CSL_CITATION {"citationItems":[{"id":"ITEM-1","itemData":{"DOI":"10.1161/CIRCULATIONAHA.117.030501","ISSN":"15244539","abstract":"BACKGROUND: We aimed to assess whether distinct lifestyle strategies can differentially affect specifc body adipose depots. METHODS: We performed an 18-month randomized controlled trial among 278 sedentary adults with abdominal obesity (75%) or dyslipidemia in an isolated workplace with a monitored provided lunch. Participants were randomized to isocaloric low-fat or Mediterranean/low-carbohydrate (MED/LC) diet+28 g walnuts/day with/without added moderate physical activity (PA; 80% aerobic; supervised/free gym membership). Overall primary outcome was body fat redistribution, and the main specifc end point was visceral adipose tissue (VAT). We further followed the dynamics of different fat depots (deep and superfcial subcutaneous, liver, pericardial, muscle, pancreas, and renal sinus) by magnetic resonance imaging. RESULTS: Of 278 participants (age, 48 years, 89% men, body mass index, 30.8 kg/m2), 86% completed the trial with good adherence. The low-fat group preferentially decreased reported fat intake (-21.0% versus-11.5% for the MED/LC; P&lt;0.001), and the MED/LC group decreased reported carbohydrates intake (-39.5% versus-21.3% for the low-fat group; P&lt;0.001). The PA+ groups signifcantly increased the metabolic equivalents per week versus the PA-groups (19.0 versus 2.1; P=0.009). Whereas fnal moderate weight loss was indifferent, exercise attenuated the waist circumference rebound with the greatest effect in the MED/LCPA+ group (P&lt;0.05). VAT (-22%), intrahepatic (-29%), and intrapericardial (-11%) fats declines were higher than pancreatic and femur intermuscular fats (1% to 2%) loss. Independent of weight loss, PA+ with either diet had a signifcantly greater effect on decreasing VAT (mean of difference,-6.67cm2; 95% confdence interval,-14.8 to-0.45) compared with PA-. The MED/LC diet was superior to the low-fat diet in decreasing intrahepatic, intrapericardial, and pancreatic fats (P&lt;0.05 for all). In contrast, renal sinus and femoral intermuscular fats were not differentially altered by lifestyle interventions but by weight loss per se. In multivariate models further adjusted for weight loss, losing VAT or intrahepatic fat was independently associated with improved lipid profle, losing deep subcutaneous adipose tissue with improved insulin sensitivity, and losing superfcial subcutaneous adipose tissue remained neutral except for an association with decreased leptin. CONCLUSIONS: Moderate weight loss alone inadequately re-ects the signifcant lifestyle …","author":[{"dropping-particle":"","family":"Gepner","given":"Yftach","non-dropping-particle":"","parse-names":false,"suffix":""},{"dropping-particle":"","family":"Shelef","given":"Ilan","non-dropping-particle":"","parse-names":false,"suffix":""},{"dropping-particle":"","family":"Schwarzfuchs","given":"Dan","non-dropping-particle":"","parse-names":false,"suffix":""},{"dropping-particle":"","family":"Zelicha","given":"Hila","non-dropping-particle":"","parse-names":false,"suffix":""},{"dropping-particle":"","family":"Tene","given":"Lilac","non-dropping-particle":"","parse-names":false,"suffix":""},{"dropping-particle":"","family":"Meir","given":"Anat Yaskolka","non-dropping-particle":"","parse-names":false,"suffix":""},{"dropping-particle":"","family":"Tsaban","given":"Gal","non-dropping-particle":"","parse-names":false,"suffix":""},{"dropping-particle":"","family":"Cohen","given":"Noa","non-dropping-particle":"","parse-names":false,"suffix":""},{"dropping-particle":"","family":"Bril","given":"Nitzan","non-dropping-particle":"","parse-names":false,"suffix":""},{"dropping-particle":"","family":"Rein","given":"Michal","non-dropping-particle":"","parse-names":false,"suffix":""},{"dropping-particle":"","family":"Serfaty","given":"Dana","non-dropping-particle":"","parse-names":false,"suffix":""},{"dropping-particle":"","family":"Kenigsbuch","given":"Shira","non-dropping-particle":"","parse-names":false,"suffix":""},{"dropping-particle":"","family":"Komy","given":"Oded","non-dropping-particle":"","parse-names":false,"suffix":""},{"dropping-particle":"","family":"Wolak","given":"Arik","non-dropping-particle":"","parse-names":false,"suffix":""},{"dropping-particle":"","family":"Chassidim","given":"Yoash","non-dropping-particle":"","parse-names":false,"suffix":""},{"dropping-particle":"","family":"Golan","given":"Rachel","non-dropping-particle":"","parse-names":false,"suffix":""},{"dropping-particle":"","family":"Avni-Hassid","given":"Hila","non-dropping-particle":"","parse-names":false,"suffix":""},{"dropping-particle":"","family":"Bilitzky","given":"Avital","non-dropping-particle":"","parse-names":false,"suffix":""},{"dropping-particle":"","family":"Sarusi","given":"Benjamin","non-dropping-particle":"","parse-names":false,"suffix":""},{"dropping-particle":"","family":"Goshen","given":"Eyal","non-dropping-particle":"","parse-names":false,"suffix":""},{"dropping-particle":"","family":"Shemesh","given":"Elad","non-dropping-particle":"","parse-names":false,"suffix":""},{"dropping-particle":"","family":"Henkin","given":"Yaakov","non-dropping-particle":"","parse-names":false,"suffix":""},{"dropping-particle":"","family":"Stumvoll","given":"Michael","non-dropping-particle":"","parse-names":false,"suffix":""},{"dropping-particle":"","family":"Blüher","given":"Matthias","non-dropping-particle":"","parse-names":false,"suffix":""},{"dropping-particle":"","family":"Thiery","given":"Joachim","non-dropping-particle":"","parse-names":false,"suffix":""},{"dropping-particle":"","family":"Ceglarek","given":"Uta","non-dropping-particle":"","parse-names":false,"suffix":""},{"dropping-particle":"","family":"Rudich","given":"Assaf","non-dropping-particle":"","parse-names":false,"suffix":""},{"dropping-particle":"","family":"Stampfer","given":"Meir J.","non-dropping-particle":"","parse-names":false,"suffix":""},{"dropping-particle":"","family":"Shai","given":"Iris","non-dropping-particle":"","parse-names":false,"suffix":""}],"container-title":"Circulation","id":"ITEM-1","issue":"11","issued":{"date-parts":[["2018"]]},"page":"1143-1157","title":"Effect of distinct lifestyle interventions on mobilization of fat storage pools CENTRAL magnetic resonance imaging randomized controlled trial","type":"article-journal","volume":"137"},"uris":["http://www.mendeley.com/documents/?uuid=4e8f3287-6402-4722-9b4a-4b3475e5f7ad","http://www.mendeley.com/documents/?uuid=8865fc4e-6faa-4efa-8a68-40037df9c80e"]}],"mendeley":{"formattedCitation":"(9)","plainTextFormattedCitation":"(9)","previouslyFormattedCitation":"(8)"},"properties":{"noteIndex":0},"schema":"https://github.com/citation-style-language/schema/raw/master/csl-citation.json"}</w:instrText>
      </w:r>
      <w:r>
        <w:fldChar w:fldCharType="separate"/>
      </w:r>
      <w:r w:rsidR="00466211" w:rsidRPr="00466211">
        <w:rPr>
          <w:noProof/>
        </w:rPr>
        <w:t>(9)</w:t>
      </w:r>
      <w:r>
        <w:fldChar w:fldCharType="end"/>
      </w:r>
      <w:r>
        <w:t xml:space="preserve"> </w:t>
      </w:r>
      <w:r w:rsidRPr="00593D34">
        <w:t>and Intra-class reliability correlations were &gt;0.96 (P&lt;0.001</w:t>
      </w:r>
      <w:r>
        <w:t xml:space="preserve">). </w:t>
      </w:r>
    </w:p>
    <w:p w14:paraId="75542460" w14:textId="1E73927C" w:rsidR="00194774" w:rsidRDefault="00194774" w:rsidP="002B008A">
      <w:pPr>
        <w:spacing w:line="480" w:lineRule="auto"/>
        <w:rPr>
          <w:rFonts w:ascii="Calibri" w:hAnsi="Calibri" w:cs="Calibri"/>
          <w:rtl/>
        </w:rPr>
      </w:pPr>
      <w:r>
        <w:t>We quantified abdominal fat using the MATLAB-based semi-automatic software</w:t>
      </w:r>
      <w:r w:rsidR="00E70670">
        <w:t xml:space="preserve"> </w:t>
      </w:r>
      <w:r w:rsidR="00E70670">
        <w:fldChar w:fldCharType="begin" w:fldLock="1"/>
      </w:r>
      <w:r w:rsidR="00466211">
        <w:instrText>ADDIN CSL_CITATION {"citationItems":[{"id":"ITEM-1","itemData":{"DOI":"10.1161/CIRCULATIONAHA.117.030501","ISBN":"0009-7322","ISSN":"0009-7322","PMID":"29142011","abstract":"Background -We aimed to assess whether distinct lifestyle strategies can differentially affect specific body adipose depots. Methods -We performed an eighteen-month randomized controlled trial among 278 sedentary adults with abdominal obesity (75%) or dyslipidemia in an isolated workplace with a monitored provided lunch. Participants were randomized to iso-caloric low-fat (LF) or Mediterranean/low-carbohydrate (MED/LC) diet+28g walnuts/day with/without added moderate physical activity (PA;80% aerobic; supervised/free gym membership). Overall primary outcome was body fat re-distribution, and the main specific endpoint was visceral adipose tissue (VAT). We further followed the dynamics of different fat depots [deep/superficial subcutaneous (D/SSAT), liver, pericardial, muscle, pancreas and renal-sinus] by magnetic-resonance-imaging. Results -Of 278 participants (age=48y; 89%men, body-mass-index=30.8kg/m2), 86% completed the trial, with good adherence. The LF group preferentially decreased reported fat intake (-21.0% vs. -11.5% for the MED/LC; P&lt;0.001), and the MED/LC group decreased reported carbohydrates intake (-39.5%vs. -21.3% for the LF;P&lt;0.001). The PA+ groups significantly increased the metabolic-equivalents (METs)/week vs. the PA- groups (19.0 vs. 2.1;P=0.009). Whereas final moderate weight loss was indifferent, exercise attenuated the waist circumference rebound with the greatest effect in MED/LCPA+ group (P&lt;0.05). VAT (-22%), intra-hepatic (-29%), and Intra-pericardial (-11%) fats declines were higher than pancreatic and femur intermuscular fats (1-2%) loss. Independent of weight loss, PA+ with either diet had a significantly greater effect on decreasing VAT [mean-of-difference=-6.67cm2;95%CI:(-14.8 to -0.45) compared with PA-]. The MED/LC diet was superior to LF in decreasing intra-hepatic, intra-pericardial and pancreatic fats (P&lt;0.05 for all). In contrast, renal-sinus and femoral-intermuscular fats were not differentially altered by lifestyle interventions, but by weight loss per-se. In multivariate models, further adjusted for weight loss, losing VAT or intra-hepatic fat were independently associated with improved lipid profile, losing deep-SAT with improved insulin sensitivity and losing superficial-SAT remained neutral except of association with decreased leptin. Conclusions -Moderate weight loss alone inadequately reflects the significant lifestyle effects on atherogenic and diabetogenic fat depots. The MED/LC diet mobilizes specific ectop…","author":[{"dropping-particle":"","family":"Gepner","given":"Yftach","non-dropping-particle":"","parse-names":false,"suffix":""},{"dropping-particle":"","family":"Shelef","given":"Ilan","non-dropping-particle":"","parse-names":false,"suffix":""},{"dropping-particle":"","family":"Schwarzfuchs","given":"Dan","non-dropping-particle":"","parse-names":false,"suffix":""},{"dropping-particle":"","family":"Zelicha","given":"Hila","non-dropping-particle":"","parse-names":false,"suffix":""},{"dropping-particle":"","family":"Tene","given":"Lilac","non-dropping-particle":"","parse-names":false,"suffix":""},{"dropping-particle":"","family":"Yaskolka Meir","given":"Anat","non-dropping-particle":"","parse-names":false,"suffix":""},{"dropping-particle":"","family":"Tsaban","given":"Gal","non-dropping-particle":"","parse-names":false,"suffix":""},{"dropping-particle":"","family":"Cohen","given":"Noa","non-dropping-particle":"","parse-names":false,"suffix":""},{"dropping-particle":"","family":"Bril","given":"Nitzan","non-dropping-particle":"","parse-names":false,"suffix":""},{"dropping-particle":"","family":"Rein","given":"Michal","non-dropping-particle":"","parse-names":false,"suffix":""},{"dropping-particle":"","family":"Serfaty","given":"Dana","non-dropping-particle":"","parse-names":false,"suffix":""},{"dropping-particle":"","family":"Kenigsbuch","given":"Shira","non-dropping-particle":"","parse-names":false,"suffix":""},{"dropping-particle":"","family":"Komy","given":"Oded","non-dropping-particle":"","parse-names":false,"suffix":""},{"dropping-particle":"","family":"Wolak","given":"Arik","non-dropping-particle":"","parse-names":false,"suffix":""},{"dropping-particle":"","family":"Chassidim","given":"Yoash","non-dropping-particle":"","parse-names":false,"suffix":""},{"dropping-particle":"","family":"Golan","given":"Rachel","non-dropping-particle":"","parse-names":false,"suffix":""},{"dropping-particle":"","family":"Avni-Hassid","given":"Hilla","non-dropping-particle":"","parse-names":false,"suffix":""},{"dropping-particle":"","family":"Bilitzky","given":"Avital","non-dropping-particle":"","parse-names":false,"suffix":""},{"dropping-particle":"","family":"Sarusi","given":"Benjamin","non-dropping-particle":"","parse-names":false,"suffix":""},{"dropping-particle":"","family":"Goshen","given":"Eyal","non-dropping-particle":"","parse-names":false,"suffix":""},{"dropping-particle":"","family":"Shemesh","given":"Elad","non-dropping-particle":"","parse-names":false,"suffix":""},{"dropping-particle":"","family":"Henkin","given":"Yaakov","non-dropping-particle":"","parse-names":false,"suffix":""},{"dropping-particle":"","family":"Stumvoll","given":"Michael","non-dropping-particle":"","parse-names":false,"suffix":""},{"dropping-particle":"","family":"Blüher","given":"Matthias","non-dropping-particle":"","parse-names":false,"suffix":""},{"dropping-particle":"","family":"Thiery","given":"Joachim","non-dropping-particle":"","parse-names":false,"suffix":""},{"dropping-particle":"","family":"Ceglarek","given":"Uta","non-dropping-particle":"","parse-names":false,"suffix":""},{"dropping-particle":"","family":"Rudich","given":"Assaf","non-dropping-particle":"","parse-names":false,"suffix":""},{"dropping-particle":"","family":"Stampfer","given":"Meir J.","non-dropping-particle":"","parse-names":false,"suffix":""},{"dropping-particle":"","family":"Shai","given":"Iris","non-dropping-particle":"","parse-names":false,"suffix":""}],"container-title":"Circulation","id":"ITEM-1","issued":{"date-parts":[["2017","11","15"]]},"page":"CIRCULATIONAHA.117.030501","publisher":"American Heart Association, Inc.","title":"Effect of Distinct Lifestyle Interventions on Mobilization of Fat Storage Pools: The CENTRAL MRI Randomized Controlled Trial","type":"article-journal"},"uris":["http://www.mendeley.com/documents/?uuid=3e487ce3-4dea-3cf7-973d-e47ff9c5944b"]}],"mendeley":{"formattedCitation":"(7)","plainTextFormattedCitation":"(7)","previouslyFormattedCitation":"(6)"},"properties":{"noteIndex":0},"schema":"https://github.com/citation-style-language/schema/raw/master/csl-citation.json"}</w:instrText>
      </w:r>
      <w:r w:rsidR="00E70670">
        <w:fldChar w:fldCharType="separate"/>
      </w:r>
      <w:r w:rsidR="00466211" w:rsidRPr="00466211">
        <w:rPr>
          <w:noProof/>
        </w:rPr>
        <w:t>(7)</w:t>
      </w:r>
      <w:r w:rsidR="00E70670">
        <w:fldChar w:fldCharType="end"/>
      </w:r>
      <w:r w:rsidR="00E70670">
        <w:t>.</w:t>
      </w:r>
      <w:r w:rsidRPr="008562D5">
        <w:t xml:space="preserve"> </w:t>
      </w:r>
      <w:r>
        <w:t>We drew a continuous line over the fascia superficialis to differentiate between the deep-SAT and superficial-SAT, and calculated mean VAT, deep-</w:t>
      </w:r>
      <w:proofErr w:type="gramStart"/>
      <w:r>
        <w:t>SAT</w:t>
      </w:r>
      <w:proofErr w:type="gramEnd"/>
      <w:r>
        <w:t xml:space="preserve"> and superficial-SAT from two axial slices: L5-S1 and L4-L5. Quantification of the fat mass regions included the area of each fat type and its proportion (percentage) of the total area of all three abdominal fat types. </w:t>
      </w:r>
    </w:p>
    <w:p w14:paraId="3CE847BB" w14:textId="3278EDA5" w:rsidR="001F37FF" w:rsidRDefault="00F42271" w:rsidP="001F37FF">
      <w:pPr>
        <w:spacing w:line="480" w:lineRule="auto"/>
        <w:rPr>
          <w:rFonts w:ascii="Calibri" w:hAnsi="Calibri" w:cs="Calibri"/>
        </w:rPr>
      </w:pPr>
      <w:r>
        <w:rPr>
          <w:rFonts w:ascii="Calibri" w:hAnsi="Calibri" w:cs="Calibri"/>
        </w:rPr>
        <w:t>Intrahepatic fat (IHF): was assessed at baseline and after 18-months using H-MRS</w:t>
      </w:r>
      <w:r w:rsidR="00E70670">
        <w:rPr>
          <w:rFonts w:ascii="Calibri" w:hAnsi="Calibri" w:cs="Calibri"/>
        </w:rPr>
        <w:t xml:space="preserve"> </w:t>
      </w:r>
      <w:r w:rsidR="00E70670">
        <w:rPr>
          <w:rFonts w:ascii="Calibri" w:hAnsi="Calibri" w:cs="Calibri"/>
        </w:rPr>
        <w:fldChar w:fldCharType="begin" w:fldLock="1"/>
      </w:r>
      <w:r w:rsidR="00466211">
        <w:rPr>
          <w:rFonts w:ascii="Calibri" w:hAnsi="Calibri" w:cs="Calibri"/>
        </w:rPr>
        <w:instrText>ADDIN CSL_CITATION {"citationItems":[{"id":"ITEM-1","itemData":{"DOI":"10.1016/j.pnmrs.2013.04.001","ISSN":"00796565","abstract":"Obesity and its co-morbidities, including type II diabetes, insulin resistance and cardiovascular diseases, have become one of the biggest health issues of present times. The impact of obesity goes well beyond the individual and is so far-reaching that, if it continues unabated, it will cause havoc with the economies of most countries. In order to be able to fully understand the relationship between increased adiposity (obesity) and its co-morbidity, it has been necessary to develop proper methodology to accurately and reproducibly determine both body fat content and distribution, including ectopic fat depots. Magnetic Resonance Imaging (MRI) and Spectroscopy (MRS) have recently emerged as the gold-standard for accomplishing this task. Here, we will review the use of different MRI techniques currently being used to determine body fat content and distribution. We also discuss the pros and cons of MRS to determine ectopic fat depots in liver, muscle, pancreas and heart and compare these to emerging MRI techniques currently being put forward to create ectopic fat maps. Finally, we will discuss how MRI/MRS techniques are helping in changing the perception of what is healthy and what is normal and desirable body-fat content and distribution. © 2013 Elsevier B.V. All rights reserved.","author":[{"dropping-particle":"","family":"Thomas","given":"E. L.","non-dropping-particle":"","parse-names":false,"suffix":""},{"dropping-particle":"","family":"Fitzpatrick","given":"J. A.","non-dropping-particle":"","parse-names":false,"suffix":""},{"dropping-particle":"","family":"Malik","given":"S. J.","non-dropping-particle":"","parse-names":false,"suffix":""},{"dropping-particle":"","family":"Taylor-Robinson","given":"S. D.","non-dropping-particle":"","parse-names":false,"suffix":""},{"dropping-particle":"","family":"Bell","given":"J. D.","non-dropping-particle":"","parse-names":false,"suffix":""}],"container-title":"Progress in Nuclear Magnetic Resonance Spectroscopy","id":"ITEM-1","issued":{"date-parts":[["2013"]]},"page":"56-80","publisher":"Elsevier B.V.","title":"Whole body fat: Content and distribution","type":"article","volume":"73"},"uris":["http://www.mendeley.com/documents/?uuid=8e0c623c-1ee6-378f-9b1d-b8ef79c1f684"]}],"mendeley":{"formattedCitation":"(8)","plainTextFormattedCitation":"(8)","previouslyFormattedCitation":"(7)"},"properties":{"noteIndex":0},"schema":"https://github.com/citation-style-language/schema/raw/master/csl-citation.json"}</w:instrText>
      </w:r>
      <w:r w:rsidR="00E70670">
        <w:rPr>
          <w:rFonts w:ascii="Calibri" w:hAnsi="Calibri" w:cs="Calibri"/>
        </w:rPr>
        <w:fldChar w:fldCharType="separate"/>
      </w:r>
      <w:r w:rsidR="00466211" w:rsidRPr="00466211">
        <w:rPr>
          <w:rFonts w:ascii="Calibri" w:hAnsi="Calibri" w:cs="Calibri"/>
          <w:noProof/>
        </w:rPr>
        <w:t>(8)</w:t>
      </w:r>
      <w:r w:rsidR="00E70670">
        <w:rPr>
          <w:rFonts w:ascii="Calibri" w:hAnsi="Calibri" w:cs="Calibri"/>
        </w:rPr>
        <w:fldChar w:fldCharType="end"/>
      </w:r>
      <w:r w:rsidR="00E70670">
        <w:rPr>
          <w:rFonts w:ascii="Calibri" w:hAnsi="Calibri" w:cs="Calibri"/>
        </w:rPr>
        <w:t xml:space="preserve">. </w:t>
      </w:r>
      <w:r w:rsidR="001F37FF">
        <w:t xml:space="preserve">Localized, single-voxel proton spectra were acquired using a 3.0T magnetic resonance scanner (Philips </w:t>
      </w:r>
      <w:proofErr w:type="spellStart"/>
      <w:r w:rsidR="001F37FF">
        <w:t>Ingenia</w:t>
      </w:r>
      <w:proofErr w:type="spellEnd"/>
      <w:r w:rsidR="001F37FF">
        <w:t xml:space="preserve">, Best, The Netherlands). The measurements were taken from the right frontal lobe of the liver, with a location determined individually for each subject using a surface, receive-only phased-array coil. Spectra with and without water suppression were acquired using the </w:t>
      </w:r>
      <w:proofErr w:type="gramStart"/>
      <w:r w:rsidR="001F37FF">
        <w:t>single-voxel</w:t>
      </w:r>
      <w:proofErr w:type="gramEnd"/>
      <w:r w:rsidR="001F37FF">
        <w:t xml:space="preserve"> stimulated echo acquisition mode (STEAM) with the following parameters: TR=4000msec, TE=9.0msec, and TM=16.0msec. The receiver bandwidth was 2000Hz, and the number of data points was 1024. Second-order shimming was used. Four averages were taken in a single breath hold for an acquisition time of 16 sec. The voxel size varied somewhat according to anatomy but was approximately 50(AP) × 45(RL) × 54(FH) mm. Water suppression was achieved using the MOIST (Multiple Optimizations Insensitive Suppression Train) sequence consisting of four </w:t>
      </w:r>
      <w:proofErr w:type="gramStart"/>
      <w:r w:rsidR="001F37FF">
        <w:t>phase-modulated</w:t>
      </w:r>
      <w:proofErr w:type="gramEnd"/>
      <w:r w:rsidR="001F37FF">
        <w:t xml:space="preserve"> T1 and B1 insensitive pulses with a 50Hz window. Data </w:t>
      </w:r>
      <w:proofErr w:type="spellStart"/>
      <w:r w:rsidR="001F37FF">
        <w:t>analyzed</w:t>
      </w:r>
      <w:proofErr w:type="spellEnd"/>
      <w:r w:rsidR="001F37FF">
        <w:t xml:space="preserve"> using </w:t>
      </w:r>
      <w:proofErr w:type="spellStart"/>
      <w:r w:rsidR="001F37FF">
        <w:t>Mnova</w:t>
      </w:r>
      <w:proofErr w:type="spellEnd"/>
      <w:r w:rsidR="001F37FF">
        <w:t xml:space="preserve"> software (</w:t>
      </w:r>
      <w:proofErr w:type="spellStart"/>
      <w:r w:rsidR="001F37FF">
        <w:t>Mestrelab</w:t>
      </w:r>
      <w:proofErr w:type="spellEnd"/>
      <w:r w:rsidR="001F37FF">
        <w:t xml:space="preserve"> Research, Santiago de Compostela, Spain) by an experienced physicist blinded to the intervention groups, who also performed visual quality control of fitted spectra. </w:t>
      </w:r>
    </w:p>
    <w:p w14:paraId="4EF161BE" w14:textId="77777777" w:rsidR="001F37FF" w:rsidRDefault="001F37FF" w:rsidP="00744BE1">
      <w:pPr>
        <w:spacing w:line="480" w:lineRule="auto"/>
        <w:rPr>
          <w:rFonts w:ascii="Calibri" w:hAnsi="Calibri" w:cs="Calibri"/>
        </w:rPr>
      </w:pPr>
    </w:p>
    <w:p w14:paraId="7A7AB765" w14:textId="341205E5" w:rsidR="002B008A" w:rsidRDefault="00F42271" w:rsidP="001F37FF">
      <w:pPr>
        <w:spacing w:line="480" w:lineRule="auto"/>
      </w:pPr>
      <w:r>
        <w:rPr>
          <w:rFonts w:cs="Calibri"/>
        </w:rPr>
        <w:lastRenderedPageBreak/>
        <w:t>T</w:t>
      </w:r>
      <w:r w:rsidRPr="00695321">
        <w:rPr>
          <w:rFonts w:cs="Calibri"/>
        </w:rPr>
        <w:t xml:space="preserve">he total hepatic fat fraction </w:t>
      </w:r>
      <w:r>
        <w:rPr>
          <w:rFonts w:cs="Calibri"/>
        </w:rPr>
        <w:t xml:space="preserve">in the image </w:t>
      </w:r>
      <w:r w:rsidRPr="00695321">
        <w:rPr>
          <w:rFonts w:cs="Calibri"/>
        </w:rPr>
        <w:t xml:space="preserve">was determined as the ratio between the sum of the </w:t>
      </w:r>
      <w:r>
        <w:rPr>
          <w:rFonts w:cs="Calibri"/>
        </w:rPr>
        <w:t>area under all fat divided by the sum of area under all fat and water peaks</w:t>
      </w:r>
      <w:r w:rsidR="00E70670">
        <w:rPr>
          <w:rFonts w:cs="Calibri"/>
        </w:rPr>
        <w:t xml:space="preserve"> </w:t>
      </w:r>
      <w:r w:rsidR="00E70670">
        <w:rPr>
          <w:rFonts w:cs="Calibri"/>
        </w:rPr>
        <w:fldChar w:fldCharType="begin" w:fldLock="1"/>
      </w:r>
      <w:r w:rsidR="00466211">
        <w:rPr>
          <w:rFonts w:cs="Calibri"/>
        </w:rPr>
        <w:instrText>ADDIN CSL_CITATION {"citationItems":[{"id":"ITEM-1","itemData":{"DOI":"10.1016/j.pnmrs.2013.04.001","ISSN":"00796565","abstract":"Obesity and its co-morbidities, including type II diabetes, insulin resistance and cardiovascular diseases, have become one of the biggest health issues of present times. The impact of obesity goes well beyond the individual and is so far-reaching that, if it continues unabated, it will cause havoc with the economies of most countries. In order to be able to fully understand the relationship between increased adiposity (obesity) and its co-morbidity, it has been necessary to develop proper methodology to accurately and reproducibly determine both body fat content and distribution, including ectopic fat depots. Magnetic Resonance Imaging (MRI) and Spectroscopy (MRS) have recently emerged as the gold-standard for accomplishing this task. Here, we will review the use of different MRI techniques currently being used to determine body fat content and distribution. We also discuss the pros and cons of MRS to determine ectopic fat depots in liver, muscle, pancreas and heart and compare these to emerging MRI techniques currently being put forward to create ectopic fat maps. Finally, we will discuss how MRI/MRS techniques are helping in changing the perception of what is healthy and what is normal and desirable body-fat content and distribution. © 2013 Elsevier B.V. All rights reserved.","author":[{"dropping-particle":"","family":"Thomas","given":"E. L.","non-dropping-particle":"","parse-names":false,"suffix":""},{"dropping-particle":"","family":"Fitzpatrick","given":"J. A.","non-dropping-particle":"","parse-names":false,"suffix":""},{"dropping-particle":"","family":"Malik","given":"S. J.","non-dropping-particle":"","parse-names":false,"suffix":""},{"dropping-particle":"","family":"Taylor-Robinson","given":"S. D.","non-dropping-particle":"","parse-names":false,"suffix":""},{"dropping-particle":"","family":"Bell","given":"J. D.","non-dropping-particle":"","parse-names":false,"suffix":""}],"container-title":"Progress in Nuclear Magnetic Resonance Spectroscopy","id":"ITEM-1","issued":{"date-parts":[["2013"]]},"page":"56-80","publisher":"Elsevier B.V.","title":"Whole body fat: Content and distribution","type":"article","volume":"73"},"uris":["http://www.mendeley.com/documents/?uuid=8e0c623c-1ee6-378f-9b1d-b8ef79c1f684"]}],"mendeley":{"formattedCitation":"(8)","plainTextFormattedCitation":"(8)","previouslyFormattedCitation":"(7)"},"properties":{"noteIndex":0},"schema":"https://github.com/citation-style-language/schema/raw/master/csl-citation.json"}</w:instrText>
      </w:r>
      <w:r w:rsidR="00E70670">
        <w:rPr>
          <w:rFonts w:cs="Calibri"/>
        </w:rPr>
        <w:fldChar w:fldCharType="separate"/>
      </w:r>
      <w:r w:rsidR="00466211" w:rsidRPr="00466211">
        <w:rPr>
          <w:rFonts w:cs="Calibri"/>
          <w:noProof/>
        </w:rPr>
        <w:t>(8)</w:t>
      </w:r>
      <w:r w:rsidR="00E70670">
        <w:rPr>
          <w:rFonts w:cs="Calibri"/>
        </w:rPr>
        <w:fldChar w:fldCharType="end"/>
      </w:r>
      <w:r w:rsidR="00E70670">
        <w:rPr>
          <w:rFonts w:ascii="Calibri" w:hAnsi="Calibri" w:cs="Calibri"/>
        </w:rPr>
        <w:t>.</w:t>
      </w:r>
      <w:r w:rsidRPr="00564E2C">
        <w:rPr>
          <w:rFonts w:ascii="Calibri" w:hAnsi="Calibri" w:cs="Calibri"/>
        </w:rPr>
        <w:t xml:space="preserve"> </w:t>
      </w:r>
    </w:p>
    <w:p w14:paraId="24F20832" w14:textId="4DF6355B" w:rsidR="007E4B24" w:rsidRPr="007E4B24" w:rsidRDefault="007E4B24" w:rsidP="007E4B24">
      <w:pPr>
        <w:spacing w:line="480" w:lineRule="auto"/>
        <w:rPr>
          <w:rFonts w:cstheme="minorHAnsi"/>
          <w:b/>
          <w:bCs/>
        </w:rPr>
      </w:pPr>
      <w:r w:rsidRPr="007E4B24">
        <w:rPr>
          <w:rFonts w:cstheme="minorHAnsi"/>
          <w:b/>
          <w:bCs/>
        </w:rPr>
        <w:t xml:space="preserve">Supplement </w:t>
      </w:r>
      <w:r w:rsidR="006F7C19">
        <w:rPr>
          <w:rFonts w:cstheme="minorHAnsi"/>
          <w:b/>
          <w:bCs/>
        </w:rPr>
        <w:t>3</w:t>
      </w:r>
      <w:r w:rsidRPr="007E4B24">
        <w:rPr>
          <w:rFonts w:cstheme="minorHAnsi"/>
          <w:b/>
          <w:bCs/>
        </w:rPr>
        <w:t>: Sample size calculation</w:t>
      </w:r>
    </w:p>
    <w:p w14:paraId="0B0C5200" w14:textId="1D98E7AA" w:rsidR="007E4B24" w:rsidRPr="007E4B24" w:rsidRDefault="007E4B24" w:rsidP="007E4B24">
      <w:pPr>
        <w:spacing w:before="100" w:after="0" w:line="480" w:lineRule="auto"/>
        <w:rPr>
          <w:rFonts w:eastAsia="Times New Roman" w:cstheme="minorHAnsi"/>
        </w:rPr>
      </w:pPr>
      <w:r w:rsidRPr="007E4B24">
        <w:rPr>
          <w:rFonts w:eastAsia="Times New Roman" w:cstheme="minorHAnsi"/>
        </w:rPr>
        <w:t xml:space="preserve">Based on the outcomes of our primary </w:t>
      </w:r>
      <w:r w:rsidRPr="007E4B24">
        <w:rPr>
          <w:rFonts w:cstheme="minorHAnsi"/>
        </w:rPr>
        <w:t xml:space="preserve">18-month DIRECT PLUS trial (visceral and liver fat changes and weight changes), </w:t>
      </w:r>
      <w:r w:rsidRPr="007E4B24">
        <w:rPr>
          <w:rFonts w:eastAsia="Times New Roman" w:cstheme="minorHAnsi"/>
        </w:rPr>
        <w:t xml:space="preserve">we estimated that a total of 250 participants were needed to detect differences between the intervention groups (at a power of 90% in each test to provide &gt;80% power for both, at a 5% significance level). </w:t>
      </w:r>
      <w:r w:rsidRPr="007E4B24">
        <w:rPr>
          <w:rFonts w:eastAsia="Times New Roman" w:cstheme="minorHAnsi"/>
          <w:color w:val="000000"/>
        </w:rPr>
        <w:t xml:space="preserve">We based our calculation of visceral fat changes on our previous CENTRAL trial </w:t>
      </w:r>
      <w:r w:rsidRPr="007E4B24">
        <w:rPr>
          <w:rFonts w:eastAsia="Times New Roman" w:cstheme="minorHAnsi"/>
          <w:color w:val="000000"/>
        </w:rPr>
        <w:fldChar w:fldCharType="begin" w:fldLock="1"/>
      </w:r>
      <w:r w:rsidR="00466211">
        <w:rPr>
          <w:rFonts w:eastAsia="Times New Roman" w:cstheme="minorHAnsi"/>
          <w:color w:val="000000"/>
        </w:rPr>
        <w:instrText>ADDIN CSL_CITATION {"citationItems":[{"id":"ITEM-1","itemData":{"DOI":"10.1161/CIRCULATIONAHA.117.030501","ISBN":"0009-7322","ISSN":"0009-7322","PMID":"29142011","abstract":"Background -We aimed to assess whether distinct lifestyle strategies can differentially affect specific body adipose depots. Methods -We performed an eighteen-month randomized controlled trial among 278 sedentary adults with abdominal obesity (75%) or dyslipidemia in an isolated workplace with a monitored provided lunch. Participants were randomized to iso-caloric low-fat (LF) or Mediterranean/low-carbohydrate (MED/LC) diet+28g walnuts/day with/without added moderate physical activity (PA;80% aerobic; supervised/free gym membership). Overall primary outcome was body fat re-distribution, and the main specific endpoint was visceral adipose tissue (VAT). We further followed the dynamics of different fat depots [deep/superficial subcutaneous (D/SSAT), liver, pericardial, muscle, pancreas and renal-sinus] by magnetic-resonance-imaging. Results -Of 278 participants (age=48y; 89%men, body-mass-index=30.8kg/m2), 86% completed the trial, with good adherence. The LF group preferentially decreased reported fat intake (-21.0% vs. -11.5% for the MED/LC; P&lt;0.001), and the MED/LC group decreased reported carbohydrates intake (-39.5%vs. -21.3% for the LF;P&lt;0.001). The PA+ groups significantly increased the metabolic-equivalents (METs)/week vs. the PA- groups (19.0 vs. 2.1;P=0.009). Whereas final moderate weight loss was indifferent, exercise attenuated the waist circumference rebound with the greatest effect in MED/LCPA+ group (P&lt;0.05). VAT (-22%), intra-hepatic (-29%), and Intra-pericardial (-11%) fats declines were higher than pancreatic and femur intermuscular fats (1-2%) loss. Independent of weight loss, PA+ with either diet had a significantly greater effect on decreasing VAT [mean-of-difference=-6.67cm2;95%CI:(-14.8 to -0.45) compared with PA-]. The MED/LC diet was superior to LF in decreasing intra-hepatic, intra-pericardial and pancreatic fats (P&lt;0.05 for all). In contrast, renal-sinus and femoral-intermuscular fats were not differentially altered by lifestyle interventions, but by weight loss per-se. In multivariate models, further adjusted for weight loss, losing VAT or intra-hepatic fat were independently associated with improved lipid profile, losing deep-SAT with improved insulin sensitivity and losing superficial-SAT remained neutral except of association with decreased leptin. Conclusions -Moderate weight loss alone inadequately reflects the significant lifestyle effects on atherogenic and diabetogenic fat depots. The MED/LC diet mobilizes specific ectop…","author":[{"dropping-particle":"","family":"Gepner","given":"Yftach","non-dropping-particle":"","parse-names":false,"suffix":""},{"dropping-particle":"","family":"Shelef","given":"Ilan","non-dropping-particle":"","parse-names":false,"suffix":""},{"dropping-particle":"","family":"Schwarzfuchs","given":"Dan","non-dropping-particle":"","parse-names":false,"suffix":""},{"dropping-particle":"","family":"Zelicha","given":"Hila","non-dropping-particle":"","parse-names":false,"suffix":""},{"dropping-particle":"","family":"Tene","given":"Lilac","non-dropping-particle":"","parse-names":false,"suffix":""},{"dropping-particle":"","family":"Yaskolka Meir","given":"Anat","non-dropping-particle":"","parse-names":false,"suffix":""},{"dropping-particle":"","family":"Tsaban","given":"Gal","non-dropping-particle":"","parse-names":false,"suffix":""},{"dropping-particle":"","family":"Cohen","given":"Noa","non-dropping-particle":"","parse-names":false,"suffix":""},{"dropping-particle":"","family":"Bril","given":"Nitzan","non-dropping-particle":"","parse-names":false,"suffix":""},{"dropping-particle":"","family":"Rein","given":"Michal","non-dropping-particle":"","parse-names":false,"suffix":""},{"dropping-particle":"","family":"Serfaty","given":"Dana","non-dropping-particle":"","parse-names":false,"suffix":""},{"dropping-particle":"","family":"Kenigsbuch","given":"Shira","non-dropping-particle":"","parse-names":false,"suffix":""},{"dropping-particle":"","family":"Komy","given":"Oded","non-dropping-particle":"","parse-names":false,"suffix":""},{"dropping-particle":"","family":"Wolak","given":"Arik","non-dropping-particle":"","parse-names":false,"suffix":""},{"dropping-particle":"","family":"Chassidim","given":"Yoash","non-dropping-particle":"","parse-names":false,"suffix":""},{"dropping-particle":"","family":"Golan","given":"Rachel","non-dropping-particle":"","parse-names":false,"suffix":""},{"dropping-particle":"","family":"Avni-Hassid","given":"Hilla","non-dropping-particle":"","parse-names":false,"suffix":""},{"dropping-particle":"","family":"Bilitzky","given":"Avital","non-dropping-particle":"","parse-names":false,"suffix":""},{"dropping-particle":"","family":"Sarusi","given":"Benjamin","non-dropping-particle":"","parse-names":false,"suffix":""},{"dropping-particle":"","family":"Goshen","given":"Eyal","non-dropping-particle":"","parse-names":false,"suffix":""},{"dropping-particle":"","family":"Shemesh","given":"Elad","non-dropping-particle":"","parse-names":false,"suffix":""},{"dropping-particle":"","family":"Henkin","given":"Yaakov","non-dropping-particle":"","parse-names":false,"suffix":""},{"dropping-particle":"","family":"Stumvoll","given":"Michael","non-dropping-particle":"","parse-names":false,"suffix":""},{"dropping-particle":"","family":"Blüher","given":"Matthias","non-dropping-particle":"","parse-names":false,"suffix":""},{"dropping-particle":"","family":"Thiery","given":"Joachim","non-dropping-particle":"","parse-names":false,"suffix":""},{"dropping-particle":"","family":"Ceglarek","given":"Uta","non-dropping-particle":"","parse-names":false,"suffix":""},{"dropping-particle":"","family":"Rudich","given":"Assaf","non-dropping-particle":"","parse-names":false,"suffix":""},{"dropping-particle":"","family":"Stampfer","given":"Meir J.","non-dropping-particle":"","parse-names":false,"suffix":""},{"dropping-particle":"","family":"Shai","given":"Iris","non-dropping-particle":"","parse-names":false,"suffix":""}],"container-title":"Circulation","id":"ITEM-1","issued":{"date-parts":[["2017","11","15"]]},"page":"CIRCULATIONAHA.117.030501","publisher":"American Heart Association, Inc.","title":"Effect of Distinct Lifestyle Interventions on Mobilization of Fat Storage Pools: The CENTRAL MRI Randomized Controlled Trial","type":"article-journal"},"uris":["http://www.mendeley.com/documents/?uuid=3e487ce3-4dea-3cf7-973d-e47ff9c5944b"]}],"mendeley":{"formattedCitation":"(7)","plainTextFormattedCitation":"(7)","previouslyFormattedCitation":"(6)"},"properties":{"noteIndex":0},"schema":"https://github.com/citation-style-language/schema/raw/master/csl-citation.json"}</w:instrText>
      </w:r>
      <w:r w:rsidRPr="007E4B24">
        <w:rPr>
          <w:rFonts w:eastAsia="Times New Roman" w:cstheme="minorHAnsi"/>
          <w:color w:val="000000"/>
        </w:rPr>
        <w:fldChar w:fldCharType="separate"/>
      </w:r>
      <w:r w:rsidR="00466211" w:rsidRPr="00466211">
        <w:rPr>
          <w:rFonts w:eastAsia="Times New Roman" w:cstheme="minorHAnsi"/>
          <w:noProof/>
          <w:color w:val="000000"/>
        </w:rPr>
        <w:t>(7)</w:t>
      </w:r>
      <w:r w:rsidRPr="007E4B24">
        <w:rPr>
          <w:rFonts w:eastAsia="Times New Roman" w:cstheme="minorHAnsi"/>
          <w:color w:val="000000"/>
        </w:rPr>
        <w:fldChar w:fldCharType="end"/>
      </w:r>
      <w:r w:rsidRPr="007E4B24">
        <w:rPr>
          <w:rFonts w:eastAsia="Times New Roman" w:cstheme="minorHAnsi"/>
          <w:color w:val="000000"/>
        </w:rPr>
        <w:t xml:space="preserve">, and estimated a total of 250 participants (-47.3±36.6 visceral fat reduction in the Mediterranean + PA diet vs. -32.9±33.5 in the reference low fat diet; 14.4 difference). Sample size calculation for liver fat changes are based on </w:t>
      </w:r>
      <w:r w:rsidRPr="007E4B24">
        <w:rPr>
          <w:rFonts w:eastAsia="Times New Roman" w:cstheme="minorHAnsi"/>
        </w:rPr>
        <w:t xml:space="preserve">another trial that resulted in a significant reduction in liver fat </w:t>
      </w:r>
      <w:r w:rsidRPr="007E4B24">
        <w:rPr>
          <w:rFonts w:eastAsia="Times New Roman" w:cstheme="minorHAnsi"/>
        </w:rPr>
        <w:fldChar w:fldCharType="begin" w:fldLock="1"/>
      </w:r>
      <w:r w:rsidR="00466211">
        <w:rPr>
          <w:rFonts w:eastAsia="Times New Roman" w:cstheme="minorHAnsi"/>
        </w:rPr>
        <w:instrText>ADDIN CSL_CITATION {"citationItems":[{"id":"ITEM-1","itemData":{"DOI":"10.1016/j.jhep.2013.04.013","ISSN":"01688278","PMID":"23623998","abstract":"BACKGROUND &amp; AIMS Healthy lifestyle is the most important management of non-alcoholic fatty liver disease (NAFLD). This study aimed at assessing the efficacy of a community-based lifestyle modification programme in the remission of NAFLD. METHODS This was a parallel group, superiority, randomized controlled trial. 154 adults with NAFLD identified during population screening were randomized to participate in a dietitian-led lifestyle modification programme at 2 community centres or receive usual care for 12 months. The primary outcome was remission of NAFLD at month 12 as evidenced by intrahepatic triglyceride content (IHTG) of less than 5% by proton-magnetic resonance spectroscopy. RESULTS 74 patients in the intervention group and 71 patients in the control group completed all study assessments. In an intention-to-treat analysis of all 154 patients, 64% of the patients in the intervention group and 20% in the control group achieved remission of NAFLD (difference between groups 44%; 95% CI 30-58%; p&lt;0.001). The mean (SD) changes in IHTG from baseline to month 12 were -6.7% (6.1%) in the intervention group and -2.1% (6.4%) in the control group (p&lt;0.001). Body weight decreased by 5.6 (4.4) kg and 0.6 (2.5) kg in the two groups, respectively (p&lt;0.001). While 97% of patients with weight loss of more than 10% had remission of NAFLD, 41% of those with weight loss of 3.0-4.9% could also achieve the primary outcome. CONCLUSIONS The community-based lifestyle modification programme is effective in reducing and normalizing liver fat in NAFLD patients.","author":[{"dropping-particle":"","family":"Wong","given":"Vincent Wai-Sun","non-dropping-particle":"","parse-names":false,"suffix":""},{"dropping-particle":"","family":"Chan","given":"Ruth Suk-Mei","non-dropping-particle":"","parse-names":false,"suffix":""},{"dropping-particle":"","family":"Wong","given":"Grace Lai-Hung","non-dropping-particle":"","parse-names":false,"suffix":""},{"dropping-particle":"","family":"Cheung","given":"Bernice Ho-Ki","non-dropping-particle":"","parse-names":false,"suffix":""},{"dropping-particle":"","family":"Chu","given":"Winnie Chiu-Wing","non-dropping-particle":"","parse-names":false,"suffix":""},{"dropping-particle":"","family":"Yeung","given":"David Ka-Wai","non-dropping-particle":"","parse-names":false,"suffix":""},{"dropping-particle":"","family":"Chim","given":"Angel Mei-Ling","non-dropping-particle":"","parse-names":false,"suffix":""},{"dropping-particle":"","family":"Lai","given":"Jennifer Wing-Yan","non-dropping-particle":"","parse-names":false,"suffix":""},{"dropping-particle":"","family":"Li","given":"Liz Sin","non-dropping-particle":"","parse-names":false,"suffix":""},{"dropping-particle":"","family":"Sea","given":"Mandy Man-Mei","non-dropping-particle":"","parse-names":false,"suffix":""},{"dropping-particle":"","family":"Chan","given":"Francis Ka-Leung","non-dropping-particle":"","parse-names":false,"suffix":""},{"dropping-particle":"","family":"Sung","given":"Joseph Jao-Yiu","non-dropping-particle":"","parse-names":false,"suffix":""},{"dropping-particle":"","family":"Woo","given":"Jean","non-dropping-particle":"","parse-names":false,"suffix":""},{"dropping-particle":"","family":"Chan","given":"Henry Lik-Yuen","non-dropping-particle":"","parse-names":false,"suffix":""}],"container-title":"Journal of Hepatology","id":"ITEM-1","issue":"3","issued":{"date-parts":[["2013","9"]]},"page":"536-542","title":"Community-based lifestyle modification programme for non-alcoholic fatty liver disease: A randomized controlled trial","type":"article-journal","volume":"59"},"uris":["http://www.mendeley.com/documents/?uuid=c0e20252-3bc1-3e14-a17b-9ca614cee7e2"]}],"mendeley":{"formattedCitation":"(10)","plainTextFormattedCitation":"(10)","previouslyFormattedCitation":"(9)"},"properties":{"noteIndex":0},"schema":"https://github.com/citation-style-language/schema/raw/master/csl-citation.json"}</w:instrText>
      </w:r>
      <w:r w:rsidRPr="007E4B24">
        <w:rPr>
          <w:rFonts w:eastAsia="Times New Roman" w:cstheme="minorHAnsi"/>
        </w:rPr>
        <w:fldChar w:fldCharType="separate"/>
      </w:r>
      <w:r w:rsidR="00466211" w:rsidRPr="00466211">
        <w:rPr>
          <w:rFonts w:eastAsia="Times New Roman" w:cstheme="minorHAnsi"/>
          <w:noProof/>
        </w:rPr>
        <w:t>(10)</w:t>
      </w:r>
      <w:r w:rsidRPr="007E4B24">
        <w:rPr>
          <w:rFonts w:eastAsia="Times New Roman" w:cstheme="minorHAnsi"/>
        </w:rPr>
        <w:fldChar w:fldCharType="end"/>
      </w:r>
      <w:r w:rsidRPr="007E4B24">
        <w:rPr>
          <w:rFonts w:eastAsia="Times New Roman" w:cstheme="minorHAnsi"/>
        </w:rPr>
        <w:t xml:space="preserve"> (6.7±6.1% reduction in the intervention group vs. 2.1±6.4% reduction in the control group; 4.6 difference, pooled variance of 39.085). Thus, we estimated the need for 39 participants in each of our intervention groups. Sample size calculation for weight changes were based on the DIRECT trial </w:t>
      </w:r>
      <w:r w:rsidRPr="007E4B24">
        <w:rPr>
          <w:rFonts w:eastAsia="Times New Roman" w:cstheme="minorHAnsi"/>
        </w:rPr>
        <w:fldChar w:fldCharType="begin" w:fldLock="1"/>
      </w:r>
      <w:r w:rsidR="00466211">
        <w:rPr>
          <w:rFonts w:eastAsia="Times New Roman" w:cstheme="minorHAnsi"/>
        </w:rPr>
        <w:instrText>ADDIN CSL_CITATION {"citationItems":[{"id":"ITEM-1","itemData":{"DOI":"10.1056/NEJMoa0708681","ISSN":"0028-4793","PMID":"18635428","abstract":"BACKGROUND Trials comparing the effectiveness and safety of weight-loss diets are frequently limited by short follow-up times and high dropout rates. METHODS In this 2-year trial, we randomly assigned 322 moderately obese subjects (mean age, 52 years; mean body-mass index [the weight in kilograms divided by the square of the height in meters], 31; male sex, 86%) to one of three diets: low-fat, restricted-calorie; Mediterranean, restricted-calorie; or low-carbohydrate, non-restricted-calorie. RESULTS The rate of adherence to a study diet was 95.4% at 1 year and 84.6% at 2 years. The Mediterranean-diet group consumed the largest amounts of dietary fiber and had the highest ratio of monounsaturated to saturated fat (P&lt;0.05 for all comparisons among treatment groups). The low-carbohydrate group consumed the smallest amount of carbohydrates and the largest amounts of fat, protein, and cholesterol and had the highest percentage of participants with detectable urinary ketones (P&lt;0.05 for all comparisons among treatment groups). The mean weight loss was 2.9 kg for the low-fat group, 4.4 kg for the Mediterranean-diet group, and 4.7 kg for the low-carbohydrate group (P&lt;0.001 for the interaction between diet group and time); among the 272 participants who completed the intervention, the mean weight losses were 3.3 kg, 4.6 kg, and 5.5 kg, respectively. The relative reduction in the ratio of total cholesterol to high-density lipoprotein cholesterol was 20% in the low-carbohydrate group and 12% in the low-fat group (P=0.01). Among the 36 subjects with diabetes, changes in fasting plasma glucose and insulin levels were more favorable among those assigned to the Mediterranean diet than among those assigned to the low-fat diet (P&lt;0.001 for the interaction among diabetes and Mediterranean diet and time with respect to fasting glucose levels). CONCLUSIONS Mediterranean and low-carbohydrate diets may be effective alternatives to low-fat diets. The more favorable effects on lipids (with the low-carbohydrate diet) and on glycemic control (with the Mediterranean diet) suggest that personal preferences and metabolic considerations might inform individualized tailoring of dietary interventions. (ClinicalTrials.gov number, NCT00160108.)","author":[{"dropping-particle":"","family":"Shai","given":"Iris","non-dropping-particle":"","parse-names":false,"suffix":""},{"dropping-particle":"","family":"Schwarzfuchs","given":"Dan","non-dropping-particle":"","parse-names":false,"suffix":""},{"dropping-particle":"","family":"Henkin","given":"Yaakov","non-dropping-particle":"","parse-names":false,"suffix":""},{"dropping-particle":"","family":"Shahar","given":"Danit R.","non-dropping-particle":"","parse-names":false,"suffix":""},{"dropping-particle":"","family":"Witkow","given":"Shula","non-dropping-particle":"","parse-names":false,"suffix":""},{"dropping-particle":"","family":"Greenberg","given":"Ilana","non-dropping-particle":"","parse-names":false,"suffix":""},{"dropping-particle":"","family":"Golan","given":"Rachel","non-dropping-particle":"","parse-names":false,"suffix":""},{"dropping-particle":"","family":"Fraser","given":"Drora","non-dropping-particle":"","parse-names":false,"suffix":""},{"dropping-particle":"","family":"Bolotin","given":"Arkady","non-dropping-particle":"","parse-names":false,"suffix":""},{"dropping-particle":"","family":"Vardi","given":"Hilel","non-dropping-particle":"","parse-names":false,"suffix":""},{"dropping-particle":"","family":"Tangi-Rozental","given":"Osnat","non-dropping-particle":"","parse-names":false,"suffix":""},{"dropping-particle":"","family":"Zuk-Ramot","given":"Rachel","non-dropping-particle":"","parse-names":false,"suffix":""},{"dropping-particle":"","family":"Sarusi","given":"Benjamin","non-dropping-particle":"","parse-names":false,"suffix":""},{"dropping-particle":"","family":"Brickner","given":"Dov","non-dropping-particle":"","parse-names":false,"suffix":""},{"dropping-particle":"","family":"Schwartz","given":"Ziva","non-dropping-particle":"","parse-names":false,"suffix":""},{"dropping-particle":"","family":"Sheiner","given":"Einat","non-dropping-particle":"","parse-names":false,"suffix":""},{"dropping-particle":"","family":"Marko","given":"Rachel","non-dropping-particle":"","parse-names":false,"suffix":""},{"dropping-particle":"","family":"Katorza","given":"Esther","non-dropping-particle":"","parse-names":false,"suffix":""},{"dropping-particle":"","family":"Thiery","given":"Joachim","non-dropping-particle":"","parse-names":false,"suffix":""},{"dropping-particle":"","family":"Fiedler","given":"Georg Martin","non-dropping-particle":"","parse-names":false,"suffix":""},{"dropping-particle":"","family":"Blüher","given":"Matthias","non-dropping-particle":"","parse-names":false,"suffix":""},{"dropping-particle":"","family":"Stumvoll","given":"Michael","non-dropping-particle":"","parse-names":false,"suffix":""},{"dropping-particle":"","family":"Stampfer","given":"Meir J.","non-dropping-particle":"","parse-names":false,"suffix":""},{"dropping-particle":"","family":"Dietary Intervention Randomized Controlled Trial (DIRECT) Group","given":"","non-dropping-particle":"","parse-names":false,"suffix":""}],"container-title":"New England Journal of Medicine","id":"ITEM-1","issue":"3","issued":{"date-parts":[["2008","7","17"]]},"page":"229-241","title":"Weight Loss with a Low-Carbohydrate, Mediterranean, or Low-Fat Diet","type":"article-journal","volume":"359"},"uris":["http://www.mendeley.com/documents/?uuid=6cbcb470-90ea-3bec-8e83-4038a3cc9746"]}],"mendeley":{"formattedCitation":"(11)","plainTextFormattedCitation":"(11)","previouslyFormattedCitation":"(10)"},"properties":{"noteIndex":0},"schema":"https://github.com/citation-style-language/schema/raw/master/csl-citation.json"}</w:instrText>
      </w:r>
      <w:r w:rsidRPr="007E4B24">
        <w:rPr>
          <w:rFonts w:eastAsia="Times New Roman" w:cstheme="minorHAnsi"/>
        </w:rPr>
        <w:fldChar w:fldCharType="separate"/>
      </w:r>
      <w:r w:rsidR="00466211" w:rsidRPr="00466211">
        <w:rPr>
          <w:rFonts w:eastAsia="Times New Roman" w:cstheme="minorHAnsi"/>
          <w:noProof/>
        </w:rPr>
        <w:t>(11)</w:t>
      </w:r>
      <w:r w:rsidRPr="007E4B24">
        <w:rPr>
          <w:rFonts w:eastAsia="Times New Roman" w:cstheme="minorHAnsi"/>
        </w:rPr>
        <w:fldChar w:fldCharType="end"/>
      </w:r>
      <w:r w:rsidRPr="007E4B24">
        <w:rPr>
          <w:rFonts w:eastAsia="Times New Roman" w:cstheme="minorHAnsi"/>
        </w:rPr>
        <w:t xml:space="preserve">, and estimated a total of 249 participants (-3.3±4.1kg in the low-fat group vs. −5.5±7.0kg in the low-carbohydrate group; assumed difference of at least 2.5kg between the HDG and green-MED groups due to daily-caloric difference). Sample size calculations were performed using </w:t>
      </w:r>
      <w:proofErr w:type="spellStart"/>
      <w:r w:rsidRPr="007E4B24">
        <w:rPr>
          <w:rFonts w:eastAsia="Times New Roman" w:cstheme="minorHAnsi"/>
        </w:rPr>
        <w:t>Winpepi</w:t>
      </w:r>
      <w:proofErr w:type="spellEnd"/>
      <w:r w:rsidRPr="007E4B24">
        <w:rPr>
          <w:rFonts w:eastAsia="Times New Roman" w:cstheme="minorHAnsi"/>
        </w:rPr>
        <w:t xml:space="preserve"> software, version 11.6.</w:t>
      </w:r>
    </w:p>
    <w:p w14:paraId="6C3BDF48" w14:textId="1FD9DF10" w:rsidR="002B008A" w:rsidRDefault="00635286" w:rsidP="00635286">
      <w:pPr>
        <w:spacing w:line="480" w:lineRule="auto"/>
        <w:rPr>
          <w:rFonts w:cstheme="minorHAnsi"/>
          <w:b/>
          <w:bCs/>
          <w:lang w:val="en-US"/>
        </w:rPr>
      </w:pPr>
      <w:r w:rsidRPr="00E70670">
        <w:rPr>
          <w:rFonts w:cstheme="minorHAnsi"/>
          <w:b/>
          <w:bCs/>
        </w:rPr>
        <w:t xml:space="preserve">Supplement </w:t>
      </w:r>
      <w:r w:rsidR="00564CF7">
        <w:rPr>
          <w:rFonts w:cstheme="minorHAnsi"/>
          <w:b/>
          <w:bCs/>
        </w:rPr>
        <w:t>4</w:t>
      </w:r>
      <w:r w:rsidRPr="00E70670">
        <w:rPr>
          <w:rFonts w:cstheme="minorHAnsi"/>
          <w:b/>
          <w:bCs/>
        </w:rPr>
        <w:t xml:space="preserve">: </w:t>
      </w:r>
      <w:r w:rsidRPr="00DF01F3">
        <w:rPr>
          <w:rFonts w:cstheme="minorHAnsi"/>
          <w:b/>
          <w:bCs/>
          <w:lang w:val="en-US"/>
        </w:rPr>
        <w:t>18-month change correlations of fasting ghrelin with other parameters</w:t>
      </w:r>
    </w:p>
    <w:p w14:paraId="48374CB1" w14:textId="77777777" w:rsidR="00635286" w:rsidRDefault="00635286" w:rsidP="00635286">
      <w:pPr>
        <w:spacing w:line="240" w:lineRule="auto"/>
        <w:rPr>
          <w:rFonts w:cstheme="minorHAnsi"/>
          <w:noProof/>
        </w:rPr>
      </w:pPr>
      <w:r w:rsidRPr="00DF01F3">
        <w:rPr>
          <w:rFonts w:cstheme="minorHAnsi"/>
          <w:noProof/>
        </w:rPr>
        <w:object w:dxaOrig="7083" w:dyaOrig="4092" w14:anchorId="0713F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12pt" o:ole="">
            <v:imagedata r:id="rId5" o:title=""/>
          </v:shape>
          <o:OLEObject Type="Embed" ProgID="Prism9.Document" ShapeID="_x0000_i1025" DrawAspect="Content" ObjectID="_1688245193" r:id="rId6"/>
        </w:object>
      </w:r>
    </w:p>
    <w:p w14:paraId="19257969" w14:textId="22C8FFD4" w:rsidR="000712F8" w:rsidRPr="00D71789" w:rsidRDefault="00635286" w:rsidP="000712F8">
      <w:pPr>
        <w:spacing w:line="240" w:lineRule="auto"/>
        <w:rPr>
          <w:rFonts w:cstheme="minorHAnsi"/>
          <w:sz w:val="18"/>
          <w:szCs w:val="18"/>
          <w:lang w:val="en-US"/>
        </w:rPr>
      </w:pPr>
      <w:r w:rsidRPr="00D71789">
        <w:rPr>
          <w:rFonts w:cstheme="minorHAnsi"/>
          <w:sz w:val="18"/>
          <w:szCs w:val="18"/>
          <w:lang w:val="en-US"/>
        </w:rPr>
        <w:t>*</w:t>
      </w:r>
      <w:proofErr w:type="gramStart"/>
      <w:r w:rsidRPr="00D71789">
        <w:rPr>
          <w:rFonts w:cstheme="minorHAnsi"/>
          <w:sz w:val="18"/>
          <w:szCs w:val="18"/>
          <w:lang w:val="en-US"/>
        </w:rPr>
        <w:t>significant</w:t>
      </w:r>
      <w:proofErr w:type="gramEnd"/>
      <w:r w:rsidRPr="00D71789">
        <w:rPr>
          <w:rFonts w:cstheme="minorHAnsi"/>
          <w:sz w:val="18"/>
          <w:szCs w:val="18"/>
          <w:lang w:val="en-US"/>
        </w:rPr>
        <w:t xml:space="preserve"> correlations</w:t>
      </w:r>
      <w:r>
        <w:rPr>
          <w:rFonts w:cstheme="minorHAnsi"/>
          <w:sz w:val="18"/>
          <w:szCs w:val="18"/>
          <w:lang w:val="en-US"/>
        </w:rPr>
        <w:t>:</w:t>
      </w:r>
      <w:r w:rsidRPr="00D71789">
        <w:rPr>
          <w:rFonts w:cstheme="minorHAnsi"/>
          <w:sz w:val="18"/>
          <w:szCs w:val="18"/>
          <w:lang w:val="en-US"/>
        </w:rPr>
        <w:t xml:space="preserve"> r≤-0.193 and r≥0.187</w:t>
      </w:r>
      <w:r>
        <w:rPr>
          <w:rFonts w:cstheme="minorHAnsi"/>
          <w:sz w:val="18"/>
          <w:szCs w:val="18"/>
          <w:lang w:val="en-US"/>
        </w:rPr>
        <w:br/>
      </w:r>
      <w:r w:rsidRPr="00D71789">
        <w:rPr>
          <w:rFonts w:cstheme="minorHAnsi"/>
          <w:sz w:val="18"/>
          <w:szCs w:val="18"/>
          <w:lang w:val="en-US"/>
        </w:rPr>
        <w:t xml:space="preserve">Corrected for multiple comparisons using </w:t>
      </w:r>
      <w:proofErr w:type="spellStart"/>
      <w:r w:rsidRPr="00D71789">
        <w:rPr>
          <w:rFonts w:cstheme="minorHAnsi"/>
          <w:sz w:val="18"/>
          <w:szCs w:val="18"/>
          <w:lang w:val="en-US"/>
        </w:rPr>
        <w:t>Benjamini</w:t>
      </w:r>
      <w:proofErr w:type="spellEnd"/>
      <w:r w:rsidRPr="00D71789">
        <w:rPr>
          <w:rFonts w:cstheme="minorHAnsi"/>
          <w:sz w:val="18"/>
          <w:szCs w:val="18"/>
          <w:lang w:val="en-US"/>
        </w:rPr>
        <w:t>-Hochberg with FDR of 1%</w:t>
      </w:r>
    </w:p>
    <w:p w14:paraId="7FBC2CD5" w14:textId="77777777" w:rsidR="00CC14F6" w:rsidRDefault="00CC14F6" w:rsidP="0055530E">
      <w:pPr>
        <w:spacing w:line="240" w:lineRule="auto"/>
        <w:contextualSpacing/>
        <w:rPr>
          <w:rFonts w:cstheme="minorHAnsi"/>
          <w:b/>
          <w:bCs/>
          <w:lang w:val="en-US"/>
        </w:rPr>
      </w:pPr>
    </w:p>
    <w:p w14:paraId="614DE5FF" w14:textId="460317FD" w:rsidR="0055530E" w:rsidRPr="00031C79" w:rsidRDefault="0055530E" w:rsidP="0055530E">
      <w:pPr>
        <w:spacing w:line="240" w:lineRule="auto"/>
        <w:contextualSpacing/>
        <w:rPr>
          <w:rFonts w:cstheme="minorHAnsi"/>
          <w:b/>
          <w:bCs/>
          <w:lang w:val="da-DK"/>
        </w:rPr>
      </w:pPr>
      <w:r w:rsidRPr="00031C79">
        <w:rPr>
          <w:rFonts w:cstheme="minorHAnsi"/>
          <w:b/>
          <w:bCs/>
          <w:lang w:val="da-DK"/>
        </w:rPr>
        <w:t>REFERENCES</w:t>
      </w:r>
    </w:p>
    <w:p w14:paraId="1768015B" w14:textId="77777777" w:rsidR="0055530E" w:rsidRPr="00031C79" w:rsidRDefault="0055530E" w:rsidP="0055530E">
      <w:pPr>
        <w:spacing w:line="240" w:lineRule="auto"/>
        <w:contextualSpacing/>
        <w:rPr>
          <w:rFonts w:cstheme="minorHAnsi"/>
          <w:b/>
          <w:bCs/>
          <w:lang w:val="da-DK"/>
        </w:rPr>
      </w:pPr>
    </w:p>
    <w:p w14:paraId="43FA9AE3" w14:textId="6D926EEB" w:rsidR="00466211" w:rsidRPr="00466211" w:rsidRDefault="0055530E" w:rsidP="00466211">
      <w:pPr>
        <w:widowControl w:val="0"/>
        <w:autoSpaceDE w:val="0"/>
        <w:autoSpaceDN w:val="0"/>
        <w:adjustRightInd w:val="0"/>
        <w:spacing w:line="240" w:lineRule="auto"/>
        <w:ind w:left="640" w:hanging="640"/>
        <w:rPr>
          <w:rFonts w:ascii="Calibri" w:hAnsi="Calibri" w:cs="Calibri"/>
          <w:noProof/>
          <w:szCs w:val="24"/>
        </w:rPr>
      </w:pPr>
      <w:r>
        <w:fldChar w:fldCharType="begin" w:fldLock="1"/>
      </w:r>
      <w:r w:rsidRPr="00031C79">
        <w:rPr>
          <w:lang w:val="da-DK"/>
        </w:rPr>
        <w:instrText xml:space="preserve">ADDIN Mendeley Bibliography CSL_BIBLIOGRAPHY </w:instrText>
      </w:r>
      <w:r>
        <w:fldChar w:fldCharType="separate"/>
      </w:r>
      <w:r w:rsidR="00466211" w:rsidRPr="00466211">
        <w:rPr>
          <w:rFonts w:ascii="Calibri" w:hAnsi="Calibri" w:cs="Calibri"/>
          <w:noProof/>
          <w:szCs w:val="24"/>
        </w:rPr>
        <w:t xml:space="preserve">1. </w:t>
      </w:r>
      <w:r w:rsidR="00466211" w:rsidRPr="00466211">
        <w:rPr>
          <w:rFonts w:ascii="Calibri" w:hAnsi="Calibri" w:cs="Calibri"/>
          <w:noProof/>
          <w:szCs w:val="24"/>
        </w:rPr>
        <w:tab/>
      </w:r>
      <w:r w:rsidR="00466211" w:rsidRPr="00466211">
        <w:rPr>
          <w:rFonts w:ascii="Calibri" w:hAnsi="Calibri" w:cs="Calibri"/>
          <w:b/>
          <w:bCs/>
          <w:noProof/>
          <w:szCs w:val="24"/>
        </w:rPr>
        <w:t>Kaplan A, Zelicha H, Tsaban G, Yaskolka Meir A, Rinott E, Kovsan J, Novack L, Thiery J, Ceglarek U, Burkhardt R, Willenberg A, Tirosh A, Cabantchik I, Stampfer MJMJ, Shai I.</w:t>
      </w:r>
      <w:r w:rsidR="00466211" w:rsidRPr="00466211">
        <w:rPr>
          <w:rFonts w:ascii="Calibri" w:hAnsi="Calibri" w:cs="Calibri"/>
          <w:noProof/>
          <w:szCs w:val="24"/>
        </w:rPr>
        <w:t xml:space="preserve"> Protein bioavailability of Wolffia globosa duckweed, a novel aquatic plant – A randomized controlled trial. </w:t>
      </w:r>
      <w:r w:rsidR="00466211" w:rsidRPr="00466211">
        <w:rPr>
          <w:rFonts w:ascii="Calibri" w:hAnsi="Calibri" w:cs="Calibri"/>
          <w:i/>
          <w:iCs/>
          <w:noProof/>
          <w:szCs w:val="24"/>
        </w:rPr>
        <w:t>Clin. Nutr.</w:t>
      </w:r>
      <w:r w:rsidR="00466211" w:rsidRPr="00466211">
        <w:rPr>
          <w:rFonts w:ascii="Calibri" w:hAnsi="Calibri" w:cs="Calibri"/>
          <w:noProof/>
          <w:szCs w:val="24"/>
        </w:rPr>
        <w:t xml:space="preserve"> 2019;38(6):2576–2582.</w:t>
      </w:r>
    </w:p>
    <w:p w14:paraId="0014C1EC"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2. </w:t>
      </w:r>
      <w:r w:rsidRPr="00466211">
        <w:rPr>
          <w:rFonts w:ascii="Calibri" w:hAnsi="Calibri" w:cs="Calibri"/>
          <w:noProof/>
          <w:szCs w:val="24"/>
        </w:rPr>
        <w:tab/>
      </w:r>
      <w:r w:rsidRPr="00466211">
        <w:rPr>
          <w:rFonts w:ascii="Calibri" w:hAnsi="Calibri" w:cs="Calibri"/>
          <w:b/>
          <w:bCs/>
          <w:noProof/>
          <w:szCs w:val="24"/>
        </w:rPr>
        <w:t>Yaskolka Meir A, Tsaban G, Zelicha H, Rinott E, Kaplan A, Youngster I, Rudich A, Shelef I, Tirosh A, Brikner D, Pupkin E, Sarusi B, Blüher M, Stümvoll M, Thiery J, Ceglarek U, Stampfer MJ, Shai I.</w:t>
      </w:r>
      <w:r w:rsidRPr="00466211">
        <w:rPr>
          <w:rFonts w:ascii="Calibri" w:hAnsi="Calibri" w:cs="Calibri"/>
          <w:noProof/>
          <w:szCs w:val="24"/>
        </w:rPr>
        <w:t xml:space="preserve"> A Green-Mediterranean Diet, Supplemented with Mankai Duckweed, Preserves Iron-Homeostasis in Humans and Is Efficient in Reversal of Anemia in Rats. </w:t>
      </w:r>
      <w:r w:rsidRPr="00466211">
        <w:rPr>
          <w:rFonts w:ascii="Calibri" w:hAnsi="Calibri" w:cs="Calibri"/>
          <w:i/>
          <w:iCs/>
          <w:noProof/>
          <w:szCs w:val="24"/>
        </w:rPr>
        <w:t>J. Nutr.</w:t>
      </w:r>
      <w:r w:rsidRPr="00466211">
        <w:rPr>
          <w:rFonts w:ascii="Calibri" w:hAnsi="Calibri" w:cs="Calibri"/>
          <w:noProof/>
          <w:szCs w:val="24"/>
        </w:rPr>
        <w:t xml:space="preserve"> 2019;149(6). doi:10.1093/jn/nxy321.</w:t>
      </w:r>
    </w:p>
    <w:p w14:paraId="37602AD7"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3. </w:t>
      </w:r>
      <w:r w:rsidRPr="00466211">
        <w:rPr>
          <w:rFonts w:ascii="Calibri" w:hAnsi="Calibri" w:cs="Calibri"/>
          <w:noProof/>
          <w:szCs w:val="24"/>
        </w:rPr>
        <w:tab/>
      </w:r>
      <w:r w:rsidRPr="00466211">
        <w:rPr>
          <w:rFonts w:ascii="Calibri" w:hAnsi="Calibri" w:cs="Calibri"/>
          <w:b/>
          <w:bCs/>
          <w:noProof/>
          <w:szCs w:val="24"/>
        </w:rPr>
        <w:t>Sela I, Meir AY, Brandis A, Krajmalnik-Brown R, Zeibich L, Chang D, Dirks B, Tsaban G, Kaplan A, Rinott E, Zelicha H, Arinos S, Ceglarek U, Isermann B, Lapidot M, Green R, Shai I.</w:t>
      </w:r>
      <w:r w:rsidRPr="00466211">
        <w:rPr>
          <w:rFonts w:ascii="Calibri" w:hAnsi="Calibri" w:cs="Calibri"/>
          <w:noProof/>
          <w:szCs w:val="24"/>
        </w:rPr>
        <w:t xml:space="preserve"> Wolffia globosa–mankai plant-based protein contains bioactive vitamin b12 and is well absorbed in humans. </w:t>
      </w:r>
      <w:r w:rsidRPr="00466211">
        <w:rPr>
          <w:rFonts w:ascii="Calibri" w:hAnsi="Calibri" w:cs="Calibri"/>
          <w:i/>
          <w:iCs/>
          <w:noProof/>
          <w:szCs w:val="24"/>
        </w:rPr>
        <w:t>Nutrients</w:t>
      </w:r>
      <w:r w:rsidRPr="00466211">
        <w:rPr>
          <w:rFonts w:ascii="Calibri" w:hAnsi="Calibri" w:cs="Calibri"/>
          <w:noProof/>
          <w:szCs w:val="24"/>
        </w:rPr>
        <w:t xml:space="preserve"> 2020;12(10):1–17.</w:t>
      </w:r>
    </w:p>
    <w:p w14:paraId="7F58451B"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4. </w:t>
      </w:r>
      <w:r w:rsidRPr="00466211">
        <w:rPr>
          <w:rFonts w:ascii="Calibri" w:hAnsi="Calibri" w:cs="Calibri"/>
          <w:noProof/>
          <w:szCs w:val="24"/>
        </w:rPr>
        <w:tab/>
      </w:r>
      <w:r w:rsidRPr="00466211">
        <w:rPr>
          <w:rFonts w:ascii="Calibri" w:hAnsi="Calibri" w:cs="Calibri"/>
          <w:b/>
          <w:bCs/>
          <w:noProof/>
          <w:szCs w:val="24"/>
        </w:rPr>
        <w:t>Medicine I of.</w:t>
      </w:r>
      <w:r w:rsidRPr="00466211">
        <w:rPr>
          <w:rFonts w:ascii="Calibri" w:hAnsi="Calibri" w:cs="Calibri"/>
          <w:noProof/>
          <w:szCs w:val="24"/>
        </w:rPr>
        <w:t xml:space="preserve"> </w:t>
      </w:r>
      <w:r w:rsidRPr="00466211">
        <w:rPr>
          <w:rFonts w:ascii="Calibri" w:hAnsi="Calibri" w:cs="Calibri"/>
          <w:i/>
          <w:iCs/>
          <w:noProof/>
          <w:szCs w:val="24"/>
        </w:rPr>
        <w:t>Dietary Reference Intakes</w:t>
      </w:r>
      <w:r w:rsidRPr="00466211">
        <w:rPr>
          <w:rFonts w:ascii="Calibri" w:hAnsi="Calibri" w:cs="Calibri"/>
          <w:noProof/>
          <w:szCs w:val="24"/>
        </w:rPr>
        <w:t>. Washington, D.C.: National Academies Press; 2006. doi:10.17226/11537.</w:t>
      </w:r>
    </w:p>
    <w:p w14:paraId="786023D4"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5. </w:t>
      </w:r>
      <w:r w:rsidRPr="00466211">
        <w:rPr>
          <w:rFonts w:ascii="Calibri" w:hAnsi="Calibri" w:cs="Calibri"/>
          <w:noProof/>
          <w:szCs w:val="24"/>
        </w:rPr>
        <w:tab/>
      </w:r>
      <w:r w:rsidRPr="00466211">
        <w:rPr>
          <w:rFonts w:ascii="Calibri" w:hAnsi="Calibri" w:cs="Calibri"/>
          <w:b/>
          <w:bCs/>
          <w:noProof/>
          <w:szCs w:val="24"/>
        </w:rPr>
        <w:t>Micronutrients I of M (US) P on.</w:t>
      </w:r>
      <w:r w:rsidRPr="00466211">
        <w:rPr>
          <w:rFonts w:ascii="Calibri" w:hAnsi="Calibri" w:cs="Calibri"/>
          <w:noProof/>
          <w:szCs w:val="24"/>
        </w:rPr>
        <w:t xml:space="preserve"> </w:t>
      </w:r>
      <w:r w:rsidRPr="00466211">
        <w:rPr>
          <w:rFonts w:ascii="Calibri" w:hAnsi="Calibri" w:cs="Calibri"/>
          <w:i/>
          <w:iCs/>
          <w:noProof/>
          <w:szCs w:val="24"/>
        </w:rPr>
        <w:t>Dietary Reference Intakes for Vitamin A, Vitamin K, Arsenic, Boron, Chromium, Copper, Iodine, Iron, Manganese, Molybdenum, Nickel, Silicon, Vanadium, and Zinc</w:t>
      </w:r>
      <w:r w:rsidRPr="00466211">
        <w:rPr>
          <w:rFonts w:ascii="Calibri" w:hAnsi="Calibri" w:cs="Calibri"/>
          <w:noProof/>
          <w:szCs w:val="24"/>
        </w:rPr>
        <w:t>. National Academies Press (US); 2001. doi:10.17226/10026.</w:t>
      </w:r>
    </w:p>
    <w:p w14:paraId="1B4B6225"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6. </w:t>
      </w:r>
      <w:r w:rsidRPr="00466211">
        <w:rPr>
          <w:rFonts w:ascii="Calibri" w:hAnsi="Calibri" w:cs="Calibri"/>
          <w:noProof/>
          <w:szCs w:val="24"/>
        </w:rPr>
        <w:tab/>
      </w:r>
      <w:r w:rsidRPr="00466211">
        <w:rPr>
          <w:rFonts w:ascii="Calibri" w:hAnsi="Calibri" w:cs="Calibri"/>
          <w:b/>
          <w:bCs/>
          <w:noProof/>
          <w:szCs w:val="24"/>
        </w:rPr>
        <w:t>Zelicha H, Kaplan A, Meir AYAY, Tsaban G, Rinott E, Shelef I, Tirosh A, Brikner D, Pupkin E, Qi L, Thiery J, Stumvoll M, Kloting N, Von Bergen M, Ceglarek U, Blüher M, Stampfer MJMJ, Shai I.</w:t>
      </w:r>
      <w:r w:rsidRPr="00466211">
        <w:rPr>
          <w:rFonts w:ascii="Calibri" w:hAnsi="Calibri" w:cs="Calibri"/>
          <w:noProof/>
          <w:szCs w:val="24"/>
        </w:rPr>
        <w:t xml:space="preserve"> The effect of wolffia globosa mankai, a green aquatic plant, on postprandial glycemic response: A randomized crossover controlled trial. </w:t>
      </w:r>
      <w:r w:rsidRPr="00466211">
        <w:rPr>
          <w:rFonts w:ascii="Calibri" w:hAnsi="Calibri" w:cs="Calibri"/>
          <w:i/>
          <w:iCs/>
          <w:noProof/>
          <w:szCs w:val="24"/>
        </w:rPr>
        <w:t>Diabetes Care</w:t>
      </w:r>
      <w:r w:rsidRPr="00466211">
        <w:rPr>
          <w:rFonts w:ascii="Calibri" w:hAnsi="Calibri" w:cs="Calibri"/>
          <w:noProof/>
          <w:szCs w:val="24"/>
        </w:rPr>
        <w:t xml:space="preserve"> 2019;42(7):1162–1169.</w:t>
      </w:r>
    </w:p>
    <w:p w14:paraId="3600EF19"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7. </w:t>
      </w:r>
      <w:r w:rsidRPr="00466211">
        <w:rPr>
          <w:rFonts w:ascii="Calibri" w:hAnsi="Calibri" w:cs="Calibri"/>
          <w:noProof/>
          <w:szCs w:val="24"/>
        </w:rPr>
        <w:tab/>
      </w:r>
      <w:r w:rsidRPr="00466211">
        <w:rPr>
          <w:rFonts w:ascii="Calibri" w:hAnsi="Calibri" w:cs="Calibri"/>
          <w:b/>
          <w:bCs/>
          <w:noProof/>
          <w:szCs w:val="24"/>
        </w:rPr>
        <w:t xml:space="preserve">Gepner Y, Shelef I, Schwarzfuchs D, Zelicha H, Tene L, Yaskolka Meir A, Tsaban G, Cohen N, Bril </w:t>
      </w:r>
      <w:r w:rsidRPr="00466211">
        <w:rPr>
          <w:rFonts w:ascii="Calibri" w:hAnsi="Calibri" w:cs="Calibri"/>
          <w:b/>
          <w:bCs/>
          <w:noProof/>
          <w:szCs w:val="24"/>
        </w:rPr>
        <w:lastRenderedPageBreak/>
        <w:t>N, Rein M, Serfaty D, Kenigsbuch S, Komy O, Wolak A, Chassidim Y, Golan R, Avni-Hassid H, Bilitzky A, Sarusi B, Goshen E, Shemesh E, Henkin Y, Stumvoll M, Blüher M, Thiery J, Ceglarek U, Rudich A, Stampfer MJ, Shai I.</w:t>
      </w:r>
      <w:r w:rsidRPr="00466211">
        <w:rPr>
          <w:rFonts w:ascii="Calibri" w:hAnsi="Calibri" w:cs="Calibri"/>
          <w:noProof/>
          <w:szCs w:val="24"/>
        </w:rPr>
        <w:t xml:space="preserve"> Effect of Distinct Lifestyle Interventions on Mobilization of Fat Storage Pools: The CENTRAL MRI Randomized Controlled Trial. </w:t>
      </w:r>
      <w:r w:rsidRPr="00466211">
        <w:rPr>
          <w:rFonts w:ascii="Calibri" w:hAnsi="Calibri" w:cs="Calibri"/>
          <w:i/>
          <w:iCs/>
          <w:noProof/>
          <w:szCs w:val="24"/>
        </w:rPr>
        <w:t>Circulation</w:t>
      </w:r>
      <w:r w:rsidRPr="00466211">
        <w:rPr>
          <w:rFonts w:ascii="Calibri" w:hAnsi="Calibri" w:cs="Calibri"/>
          <w:noProof/>
          <w:szCs w:val="24"/>
        </w:rPr>
        <w:t xml:space="preserve"> 2017:CIRCULATIONAHA.117.030501.</w:t>
      </w:r>
    </w:p>
    <w:p w14:paraId="5CE15AC3"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8. </w:t>
      </w:r>
      <w:r w:rsidRPr="00466211">
        <w:rPr>
          <w:rFonts w:ascii="Calibri" w:hAnsi="Calibri" w:cs="Calibri"/>
          <w:noProof/>
          <w:szCs w:val="24"/>
        </w:rPr>
        <w:tab/>
      </w:r>
      <w:r w:rsidRPr="00466211">
        <w:rPr>
          <w:rFonts w:ascii="Calibri" w:hAnsi="Calibri" w:cs="Calibri"/>
          <w:b/>
          <w:bCs/>
          <w:noProof/>
          <w:szCs w:val="24"/>
        </w:rPr>
        <w:t>Thomas EL, Fitzpatrick JA, Malik SJ, Taylor-Robinson SD, Bell JD.</w:t>
      </w:r>
      <w:r w:rsidRPr="00466211">
        <w:rPr>
          <w:rFonts w:ascii="Calibri" w:hAnsi="Calibri" w:cs="Calibri"/>
          <w:noProof/>
          <w:szCs w:val="24"/>
        </w:rPr>
        <w:t xml:space="preserve"> Whole body fat: Content and distribution. </w:t>
      </w:r>
      <w:r w:rsidRPr="00466211">
        <w:rPr>
          <w:rFonts w:ascii="Calibri" w:hAnsi="Calibri" w:cs="Calibri"/>
          <w:i/>
          <w:iCs/>
          <w:noProof/>
          <w:szCs w:val="24"/>
        </w:rPr>
        <w:t>Prog. Nucl. Magn. Reson. Spectrosc.</w:t>
      </w:r>
      <w:r w:rsidRPr="00466211">
        <w:rPr>
          <w:rFonts w:ascii="Calibri" w:hAnsi="Calibri" w:cs="Calibri"/>
          <w:noProof/>
          <w:szCs w:val="24"/>
        </w:rPr>
        <w:t xml:space="preserve"> 2013;73:56–80.</w:t>
      </w:r>
    </w:p>
    <w:p w14:paraId="4C63CC05"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9. </w:t>
      </w:r>
      <w:r w:rsidRPr="00466211">
        <w:rPr>
          <w:rFonts w:ascii="Calibri" w:hAnsi="Calibri" w:cs="Calibri"/>
          <w:noProof/>
          <w:szCs w:val="24"/>
        </w:rPr>
        <w:tab/>
      </w:r>
      <w:r w:rsidRPr="00466211">
        <w:rPr>
          <w:rFonts w:ascii="Calibri" w:hAnsi="Calibri" w:cs="Calibri"/>
          <w:b/>
          <w:bCs/>
          <w:noProof/>
          <w:szCs w:val="24"/>
        </w:rPr>
        <w:t>Gepner Y, Shelef I, Schwarzfuchs D, Zelicha H, Tene L, Meir AY, Tsaban G, Cohen N, Bril N, Rein M, Serfaty D, Kenigsbuch S, Komy O, Wolak A, Chassidim Y, Golan R, Avni-Hassid H, Bilitzky A, Sarusi B, Goshen E, Shemesh E, Henkin Y, Stumvoll M, Blüher M, Thiery J, Ceglarek U, Rudich A, Stampfer MJ, Shai I.</w:t>
      </w:r>
      <w:r w:rsidRPr="00466211">
        <w:rPr>
          <w:rFonts w:ascii="Calibri" w:hAnsi="Calibri" w:cs="Calibri"/>
          <w:noProof/>
          <w:szCs w:val="24"/>
        </w:rPr>
        <w:t xml:space="preserve"> Effect of distinct lifestyle interventions on mobilization of fat storage pools CENTRAL magnetic resonance imaging randomized controlled trial. </w:t>
      </w:r>
      <w:r w:rsidRPr="00466211">
        <w:rPr>
          <w:rFonts w:ascii="Calibri" w:hAnsi="Calibri" w:cs="Calibri"/>
          <w:i/>
          <w:iCs/>
          <w:noProof/>
          <w:szCs w:val="24"/>
        </w:rPr>
        <w:t>Circulation</w:t>
      </w:r>
      <w:r w:rsidRPr="00466211">
        <w:rPr>
          <w:rFonts w:ascii="Calibri" w:hAnsi="Calibri" w:cs="Calibri"/>
          <w:noProof/>
          <w:szCs w:val="24"/>
        </w:rPr>
        <w:t xml:space="preserve"> 2018;137(11):1143–1157.</w:t>
      </w:r>
    </w:p>
    <w:p w14:paraId="2B96CC36"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szCs w:val="24"/>
        </w:rPr>
      </w:pPr>
      <w:r w:rsidRPr="00466211">
        <w:rPr>
          <w:rFonts w:ascii="Calibri" w:hAnsi="Calibri" w:cs="Calibri"/>
          <w:noProof/>
          <w:szCs w:val="24"/>
        </w:rPr>
        <w:t xml:space="preserve">10. </w:t>
      </w:r>
      <w:r w:rsidRPr="00466211">
        <w:rPr>
          <w:rFonts w:ascii="Calibri" w:hAnsi="Calibri" w:cs="Calibri"/>
          <w:noProof/>
          <w:szCs w:val="24"/>
        </w:rPr>
        <w:tab/>
      </w:r>
      <w:r w:rsidRPr="00466211">
        <w:rPr>
          <w:rFonts w:ascii="Calibri" w:hAnsi="Calibri" w:cs="Calibri"/>
          <w:b/>
          <w:bCs/>
          <w:noProof/>
          <w:szCs w:val="24"/>
        </w:rPr>
        <w:t>Wong VW-S, Chan RS-M, Wong GL-H, Cheung BH-K, Chu WC-W, Yeung DK-W, Chim AM-L, Lai JW-Y, Li LS, Sea MM-M, Chan FK-L, Sung JJ-Y, Woo J, Chan HL-Y.</w:t>
      </w:r>
      <w:r w:rsidRPr="00466211">
        <w:rPr>
          <w:rFonts w:ascii="Calibri" w:hAnsi="Calibri" w:cs="Calibri"/>
          <w:noProof/>
          <w:szCs w:val="24"/>
        </w:rPr>
        <w:t xml:space="preserve"> Community-based lifestyle modification programme for non-alcoholic fatty liver disease: A randomized controlled trial. </w:t>
      </w:r>
      <w:r w:rsidRPr="00466211">
        <w:rPr>
          <w:rFonts w:ascii="Calibri" w:hAnsi="Calibri" w:cs="Calibri"/>
          <w:i/>
          <w:iCs/>
          <w:noProof/>
          <w:szCs w:val="24"/>
        </w:rPr>
        <w:t>J. Hepatol.</w:t>
      </w:r>
      <w:r w:rsidRPr="00466211">
        <w:rPr>
          <w:rFonts w:ascii="Calibri" w:hAnsi="Calibri" w:cs="Calibri"/>
          <w:noProof/>
          <w:szCs w:val="24"/>
        </w:rPr>
        <w:t xml:space="preserve"> 2013;59(3):536–542.</w:t>
      </w:r>
    </w:p>
    <w:p w14:paraId="5324F8C6" w14:textId="77777777" w:rsidR="00466211" w:rsidRPr="00466211" w:rsidRDefault="00466211" w:rsidP="00466211">
      <w:pPr>
        <w:widowControl w:val="0"/>
        <w:autoSpaceDE w:val="0"/>
        <w:autoSpaceDN w:val="0"/>
        <w:adjustRightInd w:val="0"/>
        <w:spacing w:line="240" w:lineRule="auto"/>
        <w:ind w:left="640" w:hanging="640"/>
        <w:rPr>
          <w:rFonts w:ascii="Calibri" w:hAnsi="Calibri" w:cs="Calibri"/>
          <w:noProof/>
        </w:rPr>
      </w:pPr>
      <w:r w:rsidRPr="00466211">
        <w:rPr>
          <w:rFonts w:ascii="Calibri" w:hAnsi="Calibri" w:cs="Calibri"/>
          <w:noProof/>
          <w:szCs w:val="24"/>
        </w:rPr>
        <w:t xml:space="preserve">11. </w:t>
      </w:r>
      <w:r w:rsidRPr="00466211">
        <w:rPr>
          <w:rFonts w:ascii="Calibri" w:hAnsi="Calibri" w:cs="Calibri"/>
          <w:noProof/>
          <w:szCs w:val="24"/>
        </w:rPr>
        <w:tab/>
      </w:r>
      <w:r w:rsidRPr="00466211">
        <w:rPr>
          <w:rFonts w:ascii="Calibri" w:hAnsi="Calibri" w:cs="Calibri"/>
          <w:b/>
          <w:bCs/>
          <w:noProof/>
          <w:szCs w:val="24"/>
        </w:rPr>
        <w:t>Shai I, Schwarzfuchs D, Henkin Y, Shahar DR, Witkow S, Greenberg I, Golan R, Fraser D, Bolotin A, Vardi H, Tangi-Rozental O, Zuk-Ramot R, Sarusi B, Brickner D, Schwartz Z, Sheiner E, Marko R, Katorza E, Thiery J, Fiedler GM, Blüher M, Stumvoll M, Stampfer MJ, Dietary Intervention Randomized Controlled Trial (DIRECT) Group.</w:t>
      </w:r>
      <w:r w:rsidRPr="00466211">
        <w:rPr>
          <w:rFonts w:ascii="Calibri" w:hAnsi="Calibri" w:cs="Calibri"/>
          <w:noProof/>
          <w:szCs w:val="24"/>
        </w:rPr>
        <w:t xml:space="preserve"> Weight Loss with a Low-Carbohydrate, Mediterranean, or Low-Fat Diet. </w:t>
      </w:r>
      <w:r w:rsidRPr="00466211">
        <w:rPr>
          <w:rFonts w:ascii="Calibri" w:hAnsi="Calibri" w:cs="Calibri"/>
          <w:i/>
          <w:iCs/>
          <w:noProof/>
          <w:szCs w:val="24"/>
        </w:rPr>
        <w:t>N. Engl. J. Med.</w:t>
      </w:r>
      <w:r w:rsidRPr="00466211">
        <w:rPr>
          <w:rFonts w:ascii="Calibri" w:hAnsi="Calibri" w:cs="Calibri"/>
          <w:noProof/>
          <w:szCs w:val="24"/>
        </w:rPr>
        <w:t xml:space="preserve"> 2008;359(3):229–241.</w:t>
      </w:r>
    </w:p>
    <w:p w14:paraId="663D67E6" w14:textId="5C2FAE76" w:rsidR="00464FD7" w:rsidRPr="008D1A30" w:rsidRDefault="0055530E" w:rsidP="00AD153C">
      <w:pPr>
        <w:widowControl w:val="0"/>
        <w:autoSpaceDE w:val="0"/>
        <w:autoSpaceDN w:val="0"/>
        <w:adjustRightInd w:val="0"/>
        <w:spacing w:line="240" w:lineRule="auto"/>
        <w:ind w:left="640" w:hanging="640"/>
        <w:rPr>
          <w:rFonts w:ascii="Calibri" w:hAnsi="Calibri" w:cs="Calibri"/>
          <w:noProof/>
          <w:szCs w:val="24"/>
        </w:rPr>
      </w:pPr>
      <w:r>
        <w:fldChar w:fldCharType="end"/>
      </w:r>
    </w:p>
    <w:sectPr w:rsidR="00464FD7" w:rsidRPr="008D1A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xMzMxMLQwNjU0MrRU0lEKTi0uzszPAymwrAUAilwNWCwAAAA="/>
  </w:docVars>
  <w:rsids>
    <w:rsidRoot w:val="0055530E"/>
    <w:rsid w:val="00031C79"/>
    <w:rsid w:val="000712F8"/>
    <w:rsid w:val="00194774"/>
    <w:rsid w:val="001A6EB8"/>
    <w:rsid w:val="001F37FF"/>
    <w:rsid w:val="0021744E"/>
    <w:rsid w:val="002748CE"/>
    <w:rsid w:val="002B008A"/>
    <w:rsid w:val="003D3186"/>
    <w:rsid w:val="00464FD7"/>
    <w:rsid w:val="00466211"/>
    <w:rsid w:val="00530F8A"/>
    <w:rsid w:val="005504A8"/>
    <w:rsid w:val="0055530E"/>
    <w:rsid w:val="00564CF7"/>
    <w:rsid w:val="00635286"/>
    <w:rsid w:val="00667726"/>
    <w:rsid w:val="006F7C19"/>
    <w:rsid w:val="00744BE1"/>
    <w:rsid w:val="007D64F3"/>
    <w:rsid w:val="007E4B24"/>
    <w:rsid w:val="00861D57"/>
    <w:rsid w:val="008D1A30"/>
    <w:rsid w:val="008E4BA1"/>
    <w:rsid w:val="00907A21"/>
    <w:rsid w:val="009A2FAC"/>
    <w:rsid w:val="00A35360"/>
    <w:rsid w:val="00AB4F5F"/>
    <w:rsid w:val="00AD153C"/>
    <w:rsid w:val="00B033C5"/>
    <w:rsid w:val="00CC14F6"/>
    <w:rsid w:val="00E70670"/>
    <w:rsid w:val="00EF130C"/>
    <w:rsid w:val="00F33A14"/>
    <w:rsid w:val="00F42271"/>
    <w:rsid w:val="00F6533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18FD"/>
  <w15:docId w15:val="{1044D787-9116-4909-B354-4A1C5037D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30E"/>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530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22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271"/>
    <w:rPr>
      <w:rFonts w:ascii="Segoe UI" w:hAnsi="Segoe UI" w:cs="Segoe UI"/>
      <w:sz w:val="18"/>
      <w:szCs w:val="18"/>
      <w:lang w:val="en-GB"/>
    </w:rPr>
  </w:style>
  <w:style w:type="character" w:styleId="CommentReference">
    <w:name w:val="annotation reference"/>
    <w:basedOn w:val="DefaultParagraphFont"/>
    <w:uiPriority w:val="99"/>
    <w:semiHidden/>
    <w:unhideWhenUsed/>
    <w:rsid w:val="00F42271"/>
    <w:rPr>
      <w:sz w:val="16"/>
      <w:szCs w:val="16"/>
    </w:rPr>
  </w:style>
  <w:style w:type="paragraph" w:styleId="CommentText">
    <w:name w:val="annotation text"/>
    <w:basedOn w:val="Normal"/>
    <w:link w:val="CommentTextChar"/>
    <w:uiPriority w:val="99"/>
    <w:semiHidden/>
    <w:unhideWhenUsed/>
    <w:rsid w:val="00F42271"/>
    <w:pPr>
      <w:spacing w:line="240" w:lineRule="auto"/>
    </w:pPr>
    <w:rPr>
      <w:sz w:val="20"/>
      <w:szCs w:val="20"/>
    </w:rPr>
  </w:style>
  <w:style w:type="character" w:customStyle="1" w:styleId="CommentTextChar">
    <w:name w:val="Comment Text Char"/>
    <w:basedOn w:val="DefaultParagraphFont"/>
    <w:link w:val="CommentText"/>
    <w:uiPriority w:val="99"/>
    <w:semiHidden/>
    <w:rsid w:val="00F42271"/>
    <w:rPr>
      <w:sz w:val="20"/>
      <w:szCs w:val="20"/>
      <w:lang w:val="en-GB"/>
    </w:rPr>
  </w:style>
  <w:style w:type="paragraph" w:styleId="CommentSubject">
    <w:name w:val="annotation subject"/>
    <w:basedOn w:val="CommentText"/>
    <w:next w:val="CommentText"/>
    <w:link w:val="CommentSubjectChar"/>
    <w:uiPriority w:val="99"/>
    <w:semiHidden/>
    <w:unhideWhenUsed/>
    <w:rsid w:val="00F42271"/>
    <w:rPr>
      <w:b/>
      <w:bCs/>
    </w:rPr>
  </w:style>
  <w:style w:type="character" w:customStyle="1" w:styleId="CommentSubjectChar">
    <w:name w:val="Comment Subject Char"/>
    <w:basedOn w:val="CommentTextChar"/>
    <w:link w:val="CommentSubject"/>
    <w:uiPriority w:val="99"/>
    <w:semiHidden/>
    <w:rsid w:val="00F42271"/>
    <w:rPr>
      <w:b/>
      <w:bCs/>
      <w:sz w:val="20"/>
      <w:szCs w:val="20"/>
      <w:lang w:val="en-GB"/>
    </w:rPr>
  </w:style>
  <w:style w:type="paragraph" w:styleId="NormalWeb">
    <w:name w:val="Normal (Web)"/>
    <w:basedOn w:val="Normal"/>
    <w:uiPriority w:val="99"/>
    <w:unhideWhenUsed/>
    <w:rsid w:val="00F4227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CC14F6"/>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73402-B43F-408F-9F19-7C5086491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4739</TotalTime>
  <Pages>5</Pages>
  <Words>10939</Words>
  <Characters>62353</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Tsaban</dc:creator>
  <cp:keywords/>
  <dc:description/>
  <cp:lastModifiedBy>Gal Tsaban</cp:lastModifiedBy>
  <cp:revision>3</cp:revision>
  <dcterms:created xsi:type="dcterms:W3CDTF">2021-06-13T12:33:00Z</dcterms:created>
  <dcterms:modified xsi:type="dcterms:W3CDTF">2021-07-19T21:13:00Z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http://www.zotero.org/styles/the-journal-of-clinical-endocrinology-and-metabolism</vt:lpwstr>
  </property>
  <property fmtid="{D5CDD505-2E9C-101B-9397-08002B2CF9AE}" pid="4" name="Mendeley Unique User Id_1">
    <vt:lpwstr>364379a8-8c78-33a7-bad8-d40bb97003ba</vt:lpwstr>
  </property>
  <property fmtid="{D5CDD505-2E9C-101B-9397-08002B2CF9AE}" pid="5" name="Mendeley Recent Style Id 0_1">
    <vt:lpwstr>http://www.zotero.org/styles/american-journal-of-respiratory-and-critical-care-medicine</vt:lpwstr>
  </property>
  <property fmtid="{D5CDD505-2E9C-101B-9397-08002B2CF9AE}" pid="6" name="Mendeley Recent Style Name 0_1">
    <vt:lpwstr>American Journal of Respiratory and Critical Care Medicine</vt:lpwstr>
  </property>
  <property fmtid="{D5CDD505-2E9C-101B-9397-08002B2CF9AE}" pid="7" name="Mendeley Recent Style Id 1_1">
    <vt:lpwstr>http://www.zotero.org/styles/american-medical-association</vt:lpwstr>
  </property>
  <property fmtid="{D5CDD505-2E9C-101B-9397-08002B2CF9AE}" pid="8" name="Mendeley Recent Style Name 1_1">
    <vt:lpwstr>American Medical Association</vt:lpwstr>
  </property>
  <property fmtid="{D5CDD505-2E9C-101B-9397-08002B2CF9AE}" pid="9" name="Mendeley Recent Style Id 2_1">
    <vt:lpwstr>http://www.zotero.org/styles/annals-of-internal-medicine</vt:lpwstr>
  </property>
  <property fmtid="{D5CDD505-2E9C-101B-9397-08002B2CF9AE}" pid="10" name="Mendeley Recent Style Name 2_1">
    <vt:lpwstr>Annals of Internal Medicine</vt:lpwstr>
  </property>
  <property fmtid="{D5CDD505-2E9C-101B-9397-08002B2CF9AE}" pid="11" name="Mendeley Recent Style Id 3_1">
    <vt:lpwstr>http://www.zotero.org/styles/circulation</vt:lpwstr>
  </property>
  <property fmtid="{D5CDD505-2E9C-101B-9397-08002B2CF9AE}" pid="12" name="Mendeley Recent Style Name 3_1">
    <vt:lpwstr>Circulation</vt:lpwstr>
  </property>
  <property fmtid="{D5CDD505-2E9C-101B-9397-08002B2CF9AE}" pid="13" name="Mendeley Recent Style Id 4_1">
    <vt:lpwstr>http://www.zotero.org/styles/diabetologia</vt:lpwstr>
  </property>
  <property fmtid="{D5CDD505-2E9C-101B-9397-08002B2CF9AE}" pid="14" name="Mendeley Recent Style Name 4_1">
    <vt:lpwstr>Diabetologia</vt:lpwstr>
  </property>
  <property fmtid="{D5CDD505-2E9C-101B-9397-08002B2CF9AE}" pid="15" name="Mendeley Recent Style Id 5_1">
    <vt:lpwstr>http://www.zotero.org/styles/european-journal-of-internal-medicine</vt:lpwstr>
  </property>
  <property fmtid="{D5CDD505-2E9C-101B-9397-08002B2CF9AE}" pid="16" name="Mendeley Recent Style Name 5_1">
    <vt:lpwstr>European Journal of Internal Medicine</vt:lpwstr>
  </property>
  <property fmtid="{D5CDD505-2E9C-101B-9397-08002B2CF9AE}" pid="17" name="Mendeley Recent Style Id 6_1">
    <vt:lpwstr>http://www.zotero.org/styles/european-respiratory-journal</vt:lpwstr>
  </property>
  <property fmtid="{D5CDD505-2E9C-101B-9397-08002B2CF9AE}" pid="18" name="Mendeley Recent Style Name 6_1">
    <vt:lpwstr>European Respiratory Journal</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http://www.zotero.org/styles/the-american-journal-of-clinical-nutrition</vt:lpwstr>
  </property>
  <property fmtid="{D5CDD505-2E9C-101B-9397-08002B2CF9AE}" pid="22" name="Mendeley Recent Style Name 8_1">
    <vt:lpwstr>The American Journal of Clinical Nutrition</vt:lpwstr>
  </property>
  <property fmtid="{D5CDD505-2E9C-101B-9397-08002B2CF9AE}" pid="23" name="Mendeley Recent Style Id 9_1">
    <vt:lpwstr>http://www.zotero.org/styles/the-journal-of-clinical-endocrinology-and-metabolism</vt:lpwstr>
  </property>
  <property fmtid="{D5CDD505-2E9C-101B-9397-08002B2CF9AE}" pid="24" name="Mendeley Recent Style Name 9_1">
    <vt:lpwstr>The Journal of Clinical Endocrinology &amp; Metabolism</vt:lpwstr>
  </property>
</Properties>
</file>